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78"/>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99"/>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97"/>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3"/>
                <w:szCs w:val="23"/>
                <w:color w:val="auto"/>
              </w:rPr>
            </w:pPr>
          </w:p>
        </w:tc>
      </w:tr>
      <w:tr>
        <w:trPr>
          <w:trHeight w:val="256"/>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59"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700" w:space="720"/>
            <w:col w:w="1800" w:space="720"/>
            <w:col w:w="2120" w:space="720"/>
            <w:col w:w="2640"/>
          </w:cols>
          <w:pgMar w:left="240" w:top="229" w:right="239" w:bottom="1440" w:gutter="0" w:footer="0" w:header="0"/>
          <w:type w:val="continuous"/>
        </w:sectPr>
      </w:pPr>
    </w:p>
    <w:p>
      <w:pPr>
        <w:ind w:left="628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9"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9"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April 29, 2016, there were 75,409,187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640" w:type="dxa"/>
            <w:vAlign w:val="bottom"/>
            <w:gridSpan w:val="4"/>
          </w:tcPr>
          <w:p>
            <w:pPr>
              <w:spacing w:after="0" w:line="17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20" w:type="dxa"/>
            <w:vAlign w:val="bottom"/>
          </w:tcPr>
          <w:p>
            <w:pPr>
              <w:spacing w:after="0"/>
              <w:rPr>
                <w:sz w:val="16"/>
                <w:szCs w:val="16"/>
                <w:color w:val="auto"/>
              </w:rPr>
            </w:pPr>
          </w:p>
        </w:tc>
        <w:tc>
          <w:tcPr>
            <w:tcW w:w="4000" w:type="dxa"/>
            <w:vAlign w:val="bottom"/>
            <w:gridSpan w:val="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6"/>
                <w:szCs w:val="16"/>
                <w:color w:val="auto"/>
              </w:rPr>
            </w:pPr>
          </w:p>
        </w:tc>
        <w:tc>
          <w:tcPr>
            <w:tcW w:w="660" w:type="dxa"/>
            <w:vAlign w:val="bottom"/>
            <w:gridSpan w:val="4"/>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700" w:type="dxa"/>
            <w:vAlign w:val="bottom"/>
            <w:gridSpan w:val="2"/>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0" w:type="dxa"/>
            <w:vAlign w:val="bottom"/>
          </w:tcPr>
          <w:p>
            <w:pPr>
              <w:spacing w:after="0"/>
              <w:rPr>
                <w:sz w:val="22"/>
                <w:szCs w:val="22"/>
                <w:color w:val="auto"/>
              </w:rPr>
            </w:pPr>
          </w:p>
        </w:tc>
        <w:tc>
          <w:tcPr>
            <w:tcW w:w="40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540" w:type="dxa"/>
            <w:vAlign w:val="bottom"/>
            <w:gridSpan w:val="8"/>
          </w:tcPr>
          <w:p>
            <w:pPr>
              <w:spacing w:after="0"/>
              <w:rPr>
                <w:sz w:val="22"/>
                <w:szCs w:val="22"/>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2016 (unaudited) and December 31, 2015</w:t>
              </w:r>
            </w:hyperlink>
          </w:p>
        </w:tc>
        <w:tc>
          <w:tcPr>
            <w:tcW w:w="324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(unaudited)—For the three months ended March 31, 2016 and 2015</w:t>
              </w:r>
            </w:hyperlink>
          </w:p>
        </w:tc>
        <w:tc>
          <w:tcPr>
            <w:tcW w:w="6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(unaudited)—For the three months ended March 31, 2016 and 2015</w:t>
              </w:r>
            </w:hyperlink>
          </w:p>
        </w:tc>
        <w:tc>
          <w:tcPr>
            <w:tcW w:w="660" w:type="dxa"/>
            <w:vAlign w:val="bottom"/>
            <w:gridSpan w:val="4"/>
            <w:vMerge w:val="restart"/>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540" w:type="dxa"/>
            <w:vAlign w:val="bottom"/>
            <w:gridSpan w:val="1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(unaudited)—For the three months ended March 31, 2016 and 2015</w:t>
              </w:r>
            </w:hyperlink>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vMerge w:val="continue"/>
          </w:tcPr>
          <w:p>
            <w:pPr>
              <w:spacing w:after="0"/>
              <w:rPr>
                <w:sz w:val="21"/>
                <w:szCs w:val="21"/>
                <w:color w:val="auto"/>
              </w:rPr>
            </w:pPr>
          </w:p>
        </w:tc>
        <w:tc>
          <w:tcPr>
            <w:tcW w:w="660" w:type="dxa"/>
            <w:vAlign w:val="bottom"/>
            <w:gridSpan w:val="4"/>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540" w:type="dxa"/>
            <w:vAlign w:val="bottom"/>
            <w:gridSpan w:val="17"/>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(unaudited)—For the three months ended March 31, 2016 and 2015</w:t>
              </w:r>
            </w:hyperlink>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vMerge w:val="continue"/>
          </w:tcPr>
          <w:p>
            <w:pPr>
              <w:spacing w:after="0"/>
              <w:rPr>
                <w:sz w:val="21"/>
                <w:szCs w:val="21"/>
                <w:color w:val="auto"/>
              </w:rPr>
            </w:pPr>
          </w:p>
        </w:tc>
        <w:tc>
          <w:tcPr>
            <w:tcW w:w="560" w:type="dxa"/>
            <w:vAlign w:val="bottom"/>
            <w:gridSpan w:val="2"/>
            <w:vMerge w:val="restart"/>
          </w:tcPr>
          <w:p>
            <w:pPr>
              <w:spacing w:after="0"/>
              <w:rPr>
                <w:sz w:val="21"/>
                <w:szCs w:val="21"/>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66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48">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March 31, 2016</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2,050,541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1,024,434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233,990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5,492,178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202,963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4,110,730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4,118,823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4,467,804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4,485,744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 (refer to Note 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(refer to Note 13)</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0"/>
              </w:rPr>
              <w:t>Common Stock, $0.001 par value, 200,000 shares authorized, 75,441 and 81,109 shares issued and outstanding as of</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March 31, 2016 and December 31, 2015, respectively</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3,632,246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3,689,330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(2,646,661)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(2,625,474)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iStar Inc.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980,109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1,059,112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1,015,393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1,101,330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5,492,178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Operating lease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54,937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59,139</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34,896</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11,541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10,564</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development revenue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14,947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8,258</w:t>
            </w:r>
          </w:p>
        </w:tc>
      </w:tr>
      <w:tr>
        <w:trPr>
          <w:trHeight w:val="250"/>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114,644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112,857</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57,021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54,632</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39,634</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Land development cost of sales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11,575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6,891</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18,501</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20,753</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(recovery of) loan losses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4,293</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2,123</w:t>
            </w:r>
          </w:p>
        </w:tc>
      </w:tr>
      <w:tr>
        <w:trPr>
          <w:trHeight w:val="25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142,957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146,827</w:t>
            </w:r>
          </w:p>
        </w:tc>
      </w:tr>
      <w:tr>
        <w:trPr>
          <w:trHeight w:val="250"/>
        </w:trPr>
        <w:tc>
          <w:tcPr>
            <w:tcW w:w="9020" w:type="dxa"/>
            <w:vAlign w:val="bottom"/>
          </w:tcPr>
          <w:p>
            <w:pPr>
              <w:ind w:left="40"/>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2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(33,970)</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early extinguishment of debt,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Earnings from equity method investments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8,267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6,547</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(27,591)</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(5,878)</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w:t>
            </w:r>
            <w:r>
              <w:rPr>
                <w:rFonts w:ascii="Arial" w:cs="Arial" w:eastAsia="Arial" w:hAnsi="Arial"/>
                <w:sz w:val="8"/>
                <w:szCs w:val="8"/>
                <w:color w:val="auto"/>
              </w:rPr>
              <w:t>(1)</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(33,469)</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from sales of real estate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21,156</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(12,313)</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1,841</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(10,472)</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Preferred dividends</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(12,830)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(12,830)</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allocable to HPU holders and Participating Security holders</w:t>
            </w:r>
            <w:r>
              <w:rPr>
                <w:rFonts w:ascii="Arial" w:cs="Arial" w:eastAsia="Arial" w:hAnsi="Arial"/>
                <w:sz w:val="8"/>
                <w:szCs w:val="8"/>
                <w:color w:val="auto"/>
              </w:rPr>
              <w:t>(2)(3)</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r>
      <w:tr>
        <w:trPr>
          <w:trHeight w:val="283"/>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allocable to common shareholders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(21,187)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(22,553)</w:t>
            </w:r>
          </w:p>
        </w:tc>
      </w:tr>
      <w:tr>
        <w:trPr>
          <w:trHeight w:val="25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common share data</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264"/>
        </w:trPr>
        <w:tc>
          <w:tcPr>
            <w:tcW w:w="9020" w:type="dxa"/>
            <w:vAlign w:val="bottom"/>
          </w:tcPr>
          <w:p>
            <w:pPr>
              <w:ind w:left="180"/>
              <w:spacing w:after="0"/>
              <w:rPr>
                <w:sz w:val="20"/>
                <w:szCs w:val="20"/>
                <w:color w:val="auto"/>
              </w:rPr>
            </w:pPr>
            <w:r>
              <w:rPr>
                <w:rFonts w:ascii="Arial" w:cs="Arial" w:eastAsia="Arial" w:hAnsi="Arial"/>
                <w:sz w:val="14"/>
                <w:szCs w:val="14"/>
                <w:color w:val="auto"/>
              </w:rPr>
              <w:t>Weighted average number of common shares: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85,497</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Per HPU share data</w:t>
            </w:r>
            <w:r>
              <w:rPr>
                <w:rFonts w:ascii="Arial" w:cs="Arial" w:eastAsia="Arial" w:hAnsi="Arial"/>
                <w:sz w:val="8"/>
                <w:szCs w:val="8"/>
                <w:b w:val="1"/>
                <w:bCs w:val="1"/>
                <w:color w:val="auto"/>
              </w:rPr>
              <w:t>(1)(2)</w:t>
            </w: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(49.93)</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(49.93)</w:t>
            </w:r>
          </w:p>
        </w:tc>
      </w:tr>
      <w:tr>
        <w:trPr>
          <w:trHeight w:val="276"/>
        </w:trPr>
        <w:tc>
          <w:tcPr>
            <w:tcW w:w="9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 average number of HPU shares: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1"/>
        </w:trPr>
        <w:tc>
          <w:tcPr>
            <w:tcW w:w="9020" w:type="dxa"/>
            <w:vAlign w:val="bottom"/>
          </w:tcPr>
          <w:p>
            <w:pPr>
              <w:ind w:left="280"/>
              <w:spacing w:after="0"/>
              <w:rPr>
                <w:sz w:val="20"/>
                <w:szCs w:val="20"/>
                <w:color w:val="auto"/>
              </w:rPr>
            </w:pPr>
            <w:r>
              <w:rPr>
                <w:rFonts w:ascii="Arial" w:cs="Arial" w:eastAsia="Arial" w:hAnsi="Arial"/>
                <w:sz w:val="14"/>
                <w:szCs w:val="14"/>
                <w:color w:val="auto"/>
              </w:rPr>
              <w:t>Basic and diluted</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174"/>
        </w:trPr>
        <w:tc>
          <w:tcPr>
            <w:tcW w:w="902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ind w:left="500" w:right="20" w:hanging="492"/>
        <w:spacing w:after="0" w:line="241"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Inc. was $(18.8) million and $(31.6) million for the three months ended March 31, 2016 and 2015, respectively. Refer to Note 15 for details on the calculation of earnings per share.</w:t>
      </w: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of the Company's outstanding High Performance Units ("HPUs") were repurchased and retired on August 13, 2015 (refer to Note 15).</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and restricted stock awards granted under the Company's Long Term Incentive Plans that are eligible to participate in dividends (refer to Note 14 and Note 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75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759"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13335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Reclassification of (gains)/losses on available-for-sale securities into earnings upon realization</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Pr>
          <w:p>
            <w:pPr>
              <w:ind w:left="160"/>
              <w:spacing w:after="0" w:line="270" w:lineRule="exact"/>
              <w:rPr>
                <w:sz w:val="20"/>
                <w:szCs w:val="20"/>
                <w:color w:val="auto"/>
              </w:rPr>
            </w:pPr>
            <w:r>
              <w:rPr>
                <w:rFonts w:ascii="Arial" w:cs="Arial" w:eastAsia="Arial" w:hAnsi="Arial"/>
                <w:sz w:val="18"/>
                <w:szCs w:val="18"/>
                <w:color w:val="auto"/>
              </w:rPr>
              <w:t>Reclassification of (gains)/losses on cash flow hedges into earnings upon realization</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gains/(losses) on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Unrealized gains/(losses) on cash flow hedges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gains/(losses)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iStar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jc w:val="right"/>
              <w:ind w:right="3230"/>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Reclassified to "Other income" in the Company's consolidated statements of operations.</w:t>
      </w:r>
    </w:p>
    <w:p>
      <w:pPr>
        <w:spacing w:after="0" w:line="1" w:lineRule="exact"/>
        <w:rPr>
          <w:rFonts w:ascii="Arial" w:cs="Arial" w:eastAsia="Arial" w:hAnsi="Arial"/>
          <w:sz w:val="14"/>
          <w:szCs w:val="14"/>
          <w:color w:val="auto"/>
        </w:rPr>
      </w:pPr>
    </w:p>
    <w:p>
      <w:pPr>
        <w:ind w:left="500" w:hanging="492"/>
        <w:spacing w:after="0" w:line="293"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Reclassified to "Interest expense" in the Company's consolidated statements of operations are $160 and $35 for the three months ended March 31, 2016 and 2015, respectively. Reclassified to "Earnings from equity method investments" in the Company's consolidated statements of operations are $97 and $115 for the three months ended March 31, 2016 and 2015, respectively.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4"/>
                <w:szCs w:val="14"/>
                <w:b w:val="1"/>
                <w:bCs w:val="1"/>
                <w:color w:val="auto"/>
                <w:w w:val="94"/>
              </w:rPr>
              <w:t>iStar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 at</w:t>
            </w: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Series J</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Par</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Interests</w:t>
            </w:r>
          </w:p>
        </w:tc>
        <w:tc>
          <w:tcPr>
            <w:tcW w:w="120" w:type="dxa"/>
            <w:vAlign w:val="bottom"/>
            <w:tcBorders>
              <w:bottom w:val="single" w:sz="8" w:color="CCEEFF"/>
              <w:right w:val="single" w:sz="8" w:color="auto"/>
            </w:tcBorders>
          </w:tcPr>
          <w:p>
            <w:pPr>
              <w:spacing w:after="0"/>
              <w:rPr>
                <w:sz w:val="16"/>
                <w:szCs w:val="16"/>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06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$3,689,330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$(2,625,474)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$1,101,330</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Dividends declared—preferred</w:t>
            </w:r>
          </w:p>
        </w:tc>
        <w:tc>
          <w:tcPr>
            <w:tcW w:w="2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stock/restricted stock unit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line="270" w:lineRule="exact"/>
              <w:rPr>
                <w:sz w:val="20"/>
                <w:szCs w:val="20"/>
                <w:color w:val="auto"/>
              </w:rPr>
            </w:pPr>
            <w:r>
              <w:rPr>
                <w:rFonts w:ascii="Arial" w:cs="Arial" w:eastAsia="Arial" w:hAnsi="Arial"/>
                <w:sz w:val="18"/>
                <w:szCs w:val="18"/>
                <w:color w:val="auto"/>
              </w:rPr>
              <w:t>Net income (loss) for the period</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auto"/>
            </w:tcBorders>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 other</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(58,126)</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(58,132)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additional paid in capital</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attributable to redeemable 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Change in noncontrolling interest</w:t>
            </w:r>
            <w:r>
              <w:rPr>
                <w:rFonts w:ascii="Arial" w:cs="Arial" w:eastAsia="Arial" w:hAnsi="Arial"/>
                <w:sz w:val="25"/>
                <w:szCs w:val="25"/>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20" w:type="dxa"/>
            <w:vAlign w:val="bottom"/>
            <w:tcBorders>
              <w:bottom w:val="single" w:sz="8" w:color="CCEEFF"/>
              <w:right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$3,632,246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$(2,646,661)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35,284</w:t>
            </w:r>
          </w:p>
        </w:tc>
        <w:tc>
          <w:tcPr>
            <w:tcW w:w="120" w:type="dxa"/>
            <w:vAlign w:val="bottom"/>
            <w:tcBorders>
              <w:right w:val="single" w:sz="8" w:color="CCEEFF"/>
            </w:tcBorders>
            <w:shd w:val="clear" w:color="auto" w:fill="CCEEFF"/>
          </w:tcPr>
          <w:p>
            <w:pPr>
              <w:spacing w:after="0"/>
              <w:rPr>
                <w:sz w:val="22"/>
                <w:szCs w:val="22"/>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$ 1,015,393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540" w:top="445" w:right="51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iStar Inc. Shareholders' Equity</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HPU's</w:t>
            </w:r>
            <w:r>
              <w:rPr>
                <w:rFonts w:ascii="Arial" w:cs="Arial" w:eastAsia="Arial" w:hAnsi="Arial"/>
                <w:sz w:val="8"/>
                <w:szCs w:val="8"/>
                <w:b w:val="1"/>
                <w:bCs w:val="1"/>
                <w:color w:val="auto"/>
              </w:rPr>
              <w:t>(4)</w:t>
            </w:r>
          </w:p>
        </w:tc>
        <w:tc>
          <w:tcPr>
            <w:tcW w:w="1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Series J</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Par</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Interests</w:t>
            </w:r>
          </w:p>
        </w:tc>
        <w:tc>
          <w:tcPr>
            <w:tcW w:w="140" w:type="dxa"/>
            <w:vAlign w:val="bottom"/>
            <w:tcBorders>
              <w:bottom w:val="single" w:sz="8" w:color="CCEEFF"/>
              <w:right w:val="single" w:sz="8" w:color="auto"/>
            </w:tcBorders>
          </w:tcPr>
          <w:p>
            <w:pPr>
              <w:spacing w:after="0"/>
              <w:rPr>
                <w:sz w:val="16"/>
                <w:szCs w:val="16"/>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$9,800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$3,744,621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$(2,556,469)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51,256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Dividends declared—preferred</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stock/restricted stock</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 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line="270" w:lineRule="exact"/>
              <w:rPr>
                <w:sz w:val="20"/>
                <w:szCs w:val="20"/>
                <w:color w:val="auto"/>
              </w:rPr>
            </w:pPr>
            <w:r>
              <w:rPr>
                <w:rFonts w:ascii="Arial" w:cs="Arial" w:eastAsia="Arial" w:hAnsi="Arial"/>
                <w:sz w:val="18"/>
                <w:szCs w:val="18"/>
                <w:color w:val="auto"/>
              </w:rPr>
              <w:t>Net income (loss) for the period</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right w:val="single" w:sz="8" w:color="auto"/>
            </w:tcBorders>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 other</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additional paid in capital</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Contributions from noncontrolling</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Balance as of March 31, 2015</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$9,800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3"/>
              </w:rPr>
              <w:t>$3,744,089</w:t>
            </w:r>
          </w:p>
        </w:tc>
        <w:tc>
          <w:tcPr>
            <w:tcW w:w="12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$(2,579,771)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50,485</w:t>
            </w:r>
          </w:p>
        </w:tc>
        <w:tc>
          <w:tcPr>
            <w:tcW w:w="140" w:type="dxa"/>
            <w:vAlign w:val="bottom"/>
          </w:tcPr>
          <w:p>
            <w:pPr>
              <w:spacing w:after="0"/>
              <w:rPr>
                <w:sz w:val="21"/>
                <w:szCs w:val="21"/>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6"/>
              </w:rPr>
              <w:t>$ 1,219,598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8890</wp:posOffset>
            </wp:positionV>
            <wp:extent cx="5368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-98425</wp:posOffset>
            </wp:positionV>
            <wp:extent cx="5368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three months ended March 31, 2016 and 2015, net income (loss) shown above excludes $(1,300) and $(1,022) of net loss attributable to redeemable noncontrolling interests.</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 payment to acquire a noncontrolling interest (refer to Note 5).</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15).</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45" w:right="29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8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4"/>
        </w:trPr>
        <w:tc>
          <w:tcPr>
            <w:tcW w:w="7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(9,299)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(12,313)</w:t>
            </w:r>
          </w:p>
        </w:tc>
      </w:tr>
      <w:tr>
        <w:trPr>
          <w:trHeight w:val="27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flows from operating activities: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Provision for (recovery of) loan losses</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4,293</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18,501</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Payments for withholding taxes upon vesting of stock-based compensation</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(1,683)</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Non-cash expense for stock-based compensation</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3,238</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Amortization of discounts/premiums and deferred financing costs on debt obligations, net</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4,601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4,025</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discounts/premiums and deferred interest on loans,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(22,049)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(19,303)</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(8,267)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(6,547)</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operations of other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3,946</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Deferred operating lease income</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(1,796)</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sales of real estate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(21,156)</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Land development revenue in excess of cost of sales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(1,367)</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activities,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2,463</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accrued interest and operating lease income receivable,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r>
      <w:tr>
        <w:trPr>
          <w:trHeight w:val="264"/>
        </w:trPr>
        <w:tc>
          <w:tcPr>
            <w:tcW w:w="7820" w:type="dxa"/>
            <w:vAlign w:val="bottom"/>
          </w:tcPr>
          <w:p>
            <w:pPr>
              <w:ind w:left="260"/>
              <w:spacing w:after="0"/>
              <w:rPr>
                <w:sz w:val="20"/>
                <w:szCs w:val="20"/>
                <w:color w:val="auto"/>
              </w:rPr>
            </w:pPr>
            <w:r>
              <w:rPr>
                <w:rFonts w:ascii="Arial" w:cs="Arial" w:eastAsia="Arial" w:hAnsi="Arial"/>
                <w:sz w:val="14"/>
                <w:szCs w:val="14"/>
                <w:color w:val="auto"/>
              </w:rPr>
              <w:t>Changes in deferred expenses and other assets, net</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5,229</w:t>
            </w:r>
          </w:p>
        </w:tc>
      </w:tr>
      <w:tr>
        <w:trPr>
          <w:trHeight w:val="270"/>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(23,023)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(27,801)</w:t>
            </w: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Cash flows used in operating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(52,354)</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Originations and fundings of loans receivable, net</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(94,343)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(188,044)</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 on real estate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(14,716)</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Capital expenditures on land and development assets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(29,375)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(19,953)</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of and principal collections on loans receivable and other lending investments,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34,992</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Net proceeds from sales of loans receivable</w:t>
            </w:r>
          </w:p>
        </w:tc>
        <w:tc>
          <w:tcPr>
            <w:tcW w:w="10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5,595</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real estate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147,635</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Net proceeds from sales of land and development assets</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8,775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7,737</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other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Contributions to other investments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(6,377)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(1,231)</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restricted cash held in connection with investing activities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investing activities, net</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7,807</w:t>
            </w:r>
          </w:p>
        </w:tc>
      </w:tr>
      <w:tr>
        <w:trPr>
          <w:trHeight w:val="256"/>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flows used in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(13,113)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(16,054)</w:t>
            </w:r>
          </w:p>
        </w:tc>
      </w:tr>
      <w:tr>
        <w:trPr>
          <w:trHeight w:val="244"/>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Borrowings from debt obligations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Repayments of debt obligations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w w:val="96"/>
              </w:rPr>
              <w:t>(282,755)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(12,328)</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 paid</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Repurchase of stock</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(58,760)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70"/>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financing activities, net</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(10,686)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w:t>
            </w: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Cash flows from (used in) financing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(90,031)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221,699</w:t>
            </w:r>
          </w:p>
        </w:tc>
      </w:tr>
      <w:tr>
        <w:trPr>
          <w:trHeight w:val="250"/>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Effect of exchange rate changes on cash</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7820" w:type="dxa"/>
            <w:vAlign w:val="bottom"/>
          </w:tcPr>
          <w:p>
            <w:pPr>
              <w:ind w:left="160"/>
              <w:spacing w:after="0"/>
              <w:rPr>
                <w:sz w:val="20"/>
                <w:szCs w:val="20"/>
                <w:color w:val="auto"/>
              </w:rPr>
            </w:pPr>
            <w:r>
              <w:rPr>
                <w:rFonts w:ascii="Arial" w:cs="Arial" w:eastAsia="Arial" w:hAnsi="Arial"/>
                <w:sz w:val="14"/>
                <w:szCs w:val="14"/>
                <w:color w:val="auto"/>
              </w:rPr>
              <w:t>Changes in cash and cash equivalents</w:t>
            </w:r>
          </w:p>
        </w:tc>
        <w:tc>
          <w:tcPr>
            <w:tcW w:w="104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w w:val="96"/>
              </w:rPr>
              <w:t>(119,920)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153,291</w:t>
            </w:r>
          </w:p>
        </w:tc>
      </w:tr>
      <w:tr>
        <w:trPr>
          <w:trHeight w:val="270"/>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711,101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472,061</w:t>
            </w:r>
          </w:p>
        </w:tc>
      </w:tr>
      <w:tr>
        <w:trPr>
          <w:trHeight w:val="243"/>
        </w:trPr>
        <w:tc>
          <w:tcPr>
            <w:tcW w:w="7820" w:type="dxa"/>
            <w:vAlign w:val="bottom"/>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591,181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625,352</w:t>
            </w: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380"/>
          </w:cols>
          <w:pgMar w:left="240" w:top="121"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121" w:right="2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Inc. (the "Company"), doing business as "iStar", finances, invests in and develops real estate and real estate related projects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land and development, net lease and operating properties (refer to Note 17).</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unaudited consolidated financial statements have been prepared in conformity with the instructions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2015, as amended on Form 10-K/A on March 9, 2016 (the "2015 Annual Report").</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consolidated financial statements and the related notes to conform to the 2016 presentation.</w:t>
      </w:r>
    </w:p>
    <w:p>
      <w:pPr>
        <w:spacing w:after="0" w:line="14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year ended December 31, 2015, the Company determined that its classification of common shares repurchased under its share repurchase programs should be classified as a reduction to common stock for the par amount of the common stock repurchased and additional paid in capital and included as shares unissued within the consolidated financial statements. The Company previously classified common shares repurchased under its share repurchase programs as treasury stock. The misclassification eliminates treasury stock and results in corresponding reductions of common stock and additional paid-in capital, which results in no change in total equity within the consolidated balance sheets and consolidated statements of changes in equity. All repurchased shares previously reported as treasury stock will now be reported as unissued common stock. The change has no impact on the previously reported consolidated statements of operations, consolidated statements of comprehensive income or consolidated statements of cash flows. The Company evaluated the impact of this correction on previously issued financial statements and concluded they were not materially misstated. In order to conform previous financial statements with the current period, the Company elected to revise previously issued financial statements the next time such financial statements are filed. The accompanying consolidated statements of changes in equity balances as of March 31, 2015 have been revised as follows:</w:t>
      </w:r>
    </w:p>
    <w:p>
      <w:pPr>
        <w:spacing w:after="0" w:line="29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As Adjusted</w:t>
            </w: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March 31, 2015</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3,744,089</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3,744,174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3,744,174</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2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—The Company consolidates VIEs for which it is considered the primary beneficiary. As of March 31, 2016, the total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consolidated VIEs were $351.4 million and total liabilities were $60.9 million. The classifications of these assets are primarily within "Land and development" and "Real estate, net" on the 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 did not have any unfunded commitments related to consolidated VIEs as of March 31, 2016.</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—The Company has investments in VIEs where it is not the primary beneficiary and accordingly the VIEs have not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in the Company's consolidated financial statements. As of March 31, 2016, the Company's maximum exposure to loss from these investments does not exceed the sum of the $75.2 million carrying value of the investments, which are classified in "Other investments" on the Company's consolidated balance sheets, and $54.2 million of related unfunded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In accordance with the adoption of Accounting Standards Update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the Company presents debt issuance costs as a deduction from the carrying value of "Debt obligations, net" and "Loan participations payable, net" on the Company's consolidated balance sheets, which is consistent with the presentation of debt discounts. These costs were previously recorded in "Deferred expenses and other assets, net" on the Company's consolidated balance sheets. As a result, as of December 31, 2015, "Deferred expenses and other assets, net" excludes $25.1 million of debt issuance costs and "Debt obligations, net" and "Loan participations payable, net" are presented net of debt issuance costs of $24.9 million and $0.2 million, respectively. Debt issuance costs associated with revolving-debt arrangements are recorded in "Deferred expenses and other assets, net" on the Company's consolidated balance sheets.</w:t>
      </w:r>
    </w:p>
    <w:p>
      <w:pPr>
        <w:spacing w:after="0" w:line="1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2016, the Company adopted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which modified the analysis it must perform to determine whether it should consolidate certain types of entities. The guidance does not amend the existing disclosure requirements for VIEs or voting interest entities ("VOEs"). The guidance, however, modified the requirements to qualify under the VOE model. The adoption did not have a material impact on the Company's consolidated financial statements.</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January 1, 2016, the Company adopted ASU 2014-16, </w:t>
      </w:r>
      <w:r>
        <w:rPr>
          <w:rFonts w:ascii="Arial" w:cs="Arial" w:eastAsia="Arial" w:hAnsi="Arial"/>
          <w:sz w:val="18"/>
          <w:szCs w:val="18"/>
          <w:i w:val="1"/>
          <w:iCs w:val="1"/>
          <w:color w:val="auto"/>
        </w:rPr>
        <w:t>Determining Whether the Host Contract in a Hybrid Financial Instrument Issued in the 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 Share is More Akin to Debt or to Equity </w:t>
      </w:r>
      <w:r>
        <w:rPr>
          <w:rFonts w:ascii="Arial" w:cs="Arial" w:eastAsia="Arial" w:hAnsi="Arial"/>
          <w:sz w:val="18"/>
          <w:szCs w:val="18"/>
          <w:color w:val="auto"/>
        </w:rPr>
        <w:t>("ASU 2014-16") which eliminated the diversity in practice for the accounting for hybrid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The adoption did not have a material impact on the Company's consolidated financial statements.</w:t>
      </w:r>
    </w:p>
    <w:p>
      <w:pPr>
        <w:spacing w:after="0" w:line="1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2016, the remainder of the Company's significant accounting policies, which are detailed in the Company's 2015 Annual Report, have not changed materially.</w:t>
      </w:r>
    </w:p>
    <w:p>
      <w:pPr>
        <w:spacing w:after="0" w:line="1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In March 2016</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Accounting Standards Board ("FASB") issued ASU 2016-09,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Compensation: Improvements to Employee Share-Based Payment Accounting </w:t>
      </w:r>
      <w:r>
        <w:rPr>
          <w:rFonts w:ascii="Arial" w:cs="Arial" w:eastAsia="Arial" w:hAnsi="Arial"/>
          <w:sz w:val="17"/>
          <w:szCs w:val="17"/>
          <w:color w:val="auto"/>
        </w:rPr>
        <w:t>("ASU 2016-09") which was issued to simplify several aspects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share-based payment transactions, including income tax, classification of awards as either equity or liabilities and classification on the statement of cash flows. ASU 2016-09 is effective for interim and annual reporting periods beginning after December 15, 2016. Early adoption is permitted. Management is evaluating the impact of the guidance on the Company's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The accounting applied by a lessor is largely unchanged from that applied under previous GAAP. ASU 2016-02 is effective for interim and annual reporting periods beginning after December 15, 2018. Early adoption is permitted. Management is evaluating the impact of the guidance on the Company's consolidated financial statements.</w:t>
      </w:r>
    </w:p>
    <w:p>
      <w:pPr>
        <w:spacing w:after="0" w:line="1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addresses certain aspects of recognition, measurement, presentation and disclosure of financial instruments. ASU 2016-01 is effective for interim and annual reporting periods beginning after December 15, 2017. Early adoption is not permitted. Management is evaluating the impact of the guidance on the Company's consolidated financial statements.</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In August 2015, the FASB issued ASU 2015-14, </w:t>
      </w:r>
      <w:r>
        <w:rPr>
          <w:rFonts w:ascii="Arial" w:cs="Arial" w:eastAsia="Arial" w:hAnsi="Arial"/>
          <w:sz w:val="16"/>
          <w:szCs w:val="16"/>
          <w:i w:val="1"/>
          <w:iCs w:val="1"/>
          <w:color w:val="auto"/>
        </w:rPr>
        <w:t>Revenue from Contracts with Customers - Deferral of the Effective Date</w:t>
      </w:r>
      <w:r>
        <w:rPr>
          <w:rFonts w:ascii="Arial" w:cs="Arial" w:eastAsia="Arial" w:hAnsi="Arial"/>
          <w:sz w:val="16"/>
          <w:szCs w:val="16"/>
          <w:color w:val="auto"/>
        </w:rPr>
        <w:t>, to defer the effective date of ASU 2014-09 by one year. ASU 2014-09 is now effective for interim and annual reporting periods beginning after December 15, 2017. Early adoption is permitted beginning January 1, 2017. Management is evaluating the impact of the guidance on the Company's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 Lease</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304,929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132,369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437,298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1,603,481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(382,501)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(462,179)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1,578,600</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131,678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132,395</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1,100,205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610,790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1,710,995</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439,447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1,183,723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427,371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1,611,094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481,504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137,274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618,778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-98425</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00" w:hanging="492"/>
        <w:spacing w:after="0" w:line="25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March 31, 2016 and December 31, 2015, the Company had $131.7 million and $137.3 million, respectively, of residential properties available for sale in its operating properties portfolio.</w:t>
      </w:r>
    </w:p>
    <w:p>
      <w:pPr>
        <w:spacing w:after="0" w:line="1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Real Estate Available and Held for Sale—</w:t>
      </w:r>
      <w:r>
        <w:rPr>
          <w:rFonts w:ascii="Arial" w:cs="Arial" w:eastAsia="Arial" w:hAnsi="Arial"/>
          <w:sz w:val="17"/>
          <w:szCs w:val="17"/>
          <w:color w:val="auto"/>
        </w:rPr>
        <w:t>During the three months ended March 31, 2016, the Company transferred one net lease asset with a</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value of $0.7 million to held for sale due to an executed contract with a third party. During the three months ended March 31, 2015, the Company transferred net lease assets with a carrying value of $7.5 million to held for sale due to executed contracts with third parties.</w:t>
      </w:r>
    </w:p>
    <w:p>
      <w:pPr>
        <w:spacing w:after="0" w:line="15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March 31, 2016 and 2015, the Company sold residential condominiums for total net proceeds of $19.7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$49.0 million, respectively, and recorded income from sales of real estate totaling $4.9 million and $17.6 million, respectively. During the three months ended March 31, 2016 and 2015, the Company sold net lease assets for net proceeds of $10.0 million and $4.9 million, respectively, resulting in gains of $4.9 million and $3.6 million, respectively. During the three months ended March 31, 2016, the Company also sold a commercial operating property for net proceeds of $5.9 million resulting in a gain of $0.7 million. The gains are recorded in "Income from sales of real estate" in the Company's consolidated statements of operations.</w:t>
      </w:r>
    </w:p>
    <w:p>
      <w:pPr>
        <w:spacing w:after="0" w:line="15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three months ended March 31, 2015, the Company, through a consolidated entity, sold a leasehold interest in a commercial operating property for net proceeds of $93.5 million and simultaneously entered into a ground lease with an initial term of 99 years. In connection with this transaction, the Company recorded a lease incentive asset of $38.1 million, which is included in "Deferred expenses and other assets, net" on the Company's consolidated balance sheets, and deferred a gain of $5.3 million, which is included in "Accounts payable, accrued expenses and other liabilities" on the Company's consolidated balance sheets. In December 2015, the Company acquired the noncontrolling interest in the entity for $6.4 million.</w:t>
      </w:r>
    </w:p>
    <w:p>
      <w:pPr>
        <w:spacing w:after="0" w:line="114"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were $6.3 million and $7.0 million for the three months ended March 31, 2016 and 2015, respectively. These amounts are included in "Operating lease income" in the Company's consolidated statements of operations.</w:t>
      </w:r>
    </w:p>
    <w:p>
      <w:pPr>
        <w:spacing w:after="0" w:line="158"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March 31, 2016 and December 31, 2015, the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was $2.2 million and $1.9 million, respectively, and the allowance for doubtful accounts related to deferred operating lease income was $1.5 million as of both dates. These amounts are included in "Accrued interest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income receivable, net" and "Deferred operating lease income receivable, net", respectively, on the Company's consolidated balance sheets.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84"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tcPr>
          <w:p>
            <w:pPr>
              <w:spacing w:after="0"/>
              <w:rPr>
                <w:sz w:val="16"/>
                <w:szCs w:val="16"/>
                <w:color w:val="auto"/>
              </w:rPr>
            </w:pPr>
          </w:p>
        </w:tc>
      </w:tr>
      <w:tr>
        <w:trPr>
          <w:trHeight w:val="258"/>
        </w:trPr>
        <w:tc>
          <w:tcPr>
            <w:tcW w:w="5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5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development,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1,030,766</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1,007,995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(6,332)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land and development,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1,024,434</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1,001,963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In February 2016, the Company acquired an additional 7.2% interest in a consolidated entity for $7.2 million. The Company owns</w:t>
      </w:r>
      <w:r>
        <w:rPr>
          <w:rFonts w:ascii="Arial" w:cs="Arial" w:eastAsia="Arial" w:hAnsi="Arial"/>
          <w:sz w:val="18"/>
          <w:szCs w:val="18"/>
          <w:b w:val="1"/>
          <w:bCs w:val="1"/>
          <w:color w:val="auto"/>
        </w:rPr>
        <w:t xml:space="preserve"> </w:t>
      </w:r>
      <w:r>
        <w:rPr>
          <w:rFonts w:ascii="Arial" w:cs="Arial" w:eastAsia="Arial" w:hAnsi="Arial"/>
          <w:sz w:val="18"/>
          <w:szCs w:val="18"/>
          <w:color w:val="auto"/>
        </w:rPr>
        <w:t>92.2% of the entity as of March 31, 2016.</w:t>
      </w:r>
    </w:p>
    <w:p>
      <w:pPr>
        <w:spacing w:after="0" w:line="162"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Dispositions—</w:t>
      </w:r>
      <w:r>
        <w:rPr>
          <w:rFonts w:ascii="Arial" w:cs="Arial" w:eastAsia="Arial" w:hAnsi="Arial"/>
          <w:sz w:val="16"/>
          <w:szCs w:val="16"/>
          <w:color w:val="auto"/>
        </w:rPr>
        <w:t>For the three months ended March 31, 2016 and 2015, the Company sold residential lots and units and recognized land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$14.9 million and $8.3 million, respectively, from its land and development portfolio. For the three months ended March 31, 2016 and 2015, the Company recognized land development cost of sales of $11.6 million and $6.9 million, respectively, from its land and development portfolio.</w:t>
      </w:r>
    </w:p>
    <w:p>
      <w:pPr>
        <w:spacing w:after="0" w:line="1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Redeemable Noncontrolling Interest—</w:t>
      </w:r>
      <w:r>
        <w:rPr>
          <w:rFonts w:ascii="Arial" w:cs="Arial" w:eastAsia="Arial" w:hAnsi="Arial"/>
          <w:sz w:val="17"/>
          <w:szCs w:val="17"/>
          <w:color w:val="auto"/>
        </w:rPr>
        <w:t>The Company has an interest in a strategic venture that provides the minority partner an option to redeem its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at fair value. The Company has reflected the partner's noncontrolling interest in this venture as a component of redeemable noncontrolling interest within its consolidated balance sheets. Changes in fair value are being accreted over the term from the date of issuance to the earliest redemption date using the interest method. As of March 31, 2016 and December 31, 2015, this interest had a carrying value of $6.1 million and $7.2 million, respectively. As of March 31, 2016 and December 31, 2015, this interest had an estimated redemption value of $9.2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3"/>
                <w:szCs w:val="13"/>
                <w:color w:val="auto"/>
              </w:rPr>
            </w:pPr>
          </w:p>
        </w:tc>
        <w:tc>
          <w:tcPr>
            <w:tcW w:w="146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1,010,329</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664,564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643,270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1,700,347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1,647,861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(109,671)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1,590,676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1,539,696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line="264" w:lineRule="exact"/>
              <w:rPr>
                <w:sz w:val="20"/>
                <w:szCs w:val="20"/>
                <w:color w:val="auto"/>
              </w:rPr>
            </w:pPr>
            <w:r>
              <w:rPr>
                <w:rFonts w:ascii="Arial" w:cs="Arial" w:eastAsia="Arial" w:hAnsi="Arial"/>
                <w:sz w:val="18"/>
                <w:szCs w:val="18"/>
                <w:color w:val="auto"/>
              </w:rPr>
              <w:t>Total loans receivable and other lending investments, net</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1,637,387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0" w:right="20" w:hanging="492"/>
        <w:spacing w:after="0" w:line="255"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recorded investment in loans as of March 31, 2016 and December 31, 2015 includes accrued interest of $10.1 million and $9.0 million, respectively, which are included in "Accrued interest and operating lease income receivable, net" on the Company's consolidated balance sheets.</w:t>
      </w:r>
    </w:p>
    <w:p>
      <w:pPr>
        <w:spacing w:after="0" w:line="1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three months ended March 31, 2015, the Company sold a loan with a carrying value of $5.5 million. No gain or loss was recognized as a result of the transaction.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50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108,165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r>
      <w:tr>
        <w:trPr>
          <w:trHeight w:val="270"/>
        </w:trPr>
        <w:tc>
          <w:tcPr>
            <w:tcW w:w="50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Provision for loan losses</w:t>
            </w:r>
            <w:r>
              <w:rPr>
                <w:rFonts w:ascii="Arial" w:cs="Arial" w:eastAsia="Arial" w:hAnsi="Arial"/>
                <w:sz w:val="25"/>
                <w:szCs w:val="25"/>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109,671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102,783</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March 31, 2015 the provision for loan losses includes recoveries of previously recorded loan loss reserves of $0.2 million.</w:t>
      </w:r>
    </w:p>
    <w:p>
      <w:pPr>
        <w:spacing w:after="0" w:line="22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Individually</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Impairment</w:t>
            </w:r>
            <w:r>
              <w:rPr>
                <w:rFonts w:ascii="Arial" w:cs="Arial" w:eastAsia="Arial" w:hAnsi="Arial"/>
                <w:sz w:val="8"/>
                <w:szCs w:val="8"/>
                <w:b w:val="1"/>
                <w:bCs w:val="1"/>
                <w:color w:val="auto"/>
              </w:rPr>
              <w:t>(1)</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Impairment</w:t>
            </w:r>
            <w:r>
              <w:rPr>
                <w:rFonts w:ascii="Arial" w:cs="Arial" w:eastAsia="Arial" w:hAnsi="Arial"/>
                <w:sz w:val="8"/>
                <w:szCs w:val="8"/>
                <w:b w:val="1"/>
                <w:bCs w:val="1"/>
                <w:color w:val="auto"/>
                <w:w w:val="98"/>
              </w:rPr>
              <w:t>(2)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141,420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1,569,029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1,710,449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1,532,429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1,600,778</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132,492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1,524,347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50"/>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60,327</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1,488,347</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1,548,674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8890</wp:posOffset>
            </wp:positionV>
            <wp:extent cx="3173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-98425</wp:posOffset>
            </wp:positionV>
            <wp:extent cx="3173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$0.2 million as of March 31, 2016 and December 31, 2015.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$6.5 million and $8.2 million as of March 31, 2016 and December 31, 2015, respectively.</w:t>
      </w:r>
    </w:p>
    <w:p>
      <w:pPr>
        <w:spacing w:after="0" w:line="1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As of March 31,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879,019</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853,595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664,210</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641,713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25,800</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29,039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7"/>
        </w:trPr>
        <w:tc>
          <w:tcPr>
            <w:tcW w:w="516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1,569,029</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1,524,347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recorded investment in loans, aged by payment status and presented by class, were as follows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and Equal</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 90 Days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90 Days</w:t>
            </w:r>
            <w:r>
              <w:rPr>
                <w:rFonts w:ascii="Arial" w:cs="Arial" w:eastAsia="Arial" w:hAnsi="Arial"/>
                <w:sz w:val="8"/>
                <w:szCs w:val="8"/>
                <w:b w:val="1"/>
                <w:bCs w:val="1"/>
                <w:color w:val="auto"/>
                <w:w w:val="95"/>
              </w:rPr>
              <w:t>(1)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889,128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116,825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125,908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1,015,036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669,613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1,584,541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116,825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125,908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1,710,449</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647,451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647,451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1,540,589</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76"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March 31, 2016, the Company had four loans which were greater than 90 days delinquent and were in various stages of resolution, including legal proceedings, environmental concerns and foreclosure-related proceedings, and ranged from 1.0 to 8.0 years outstanding. As of December 31, 2015, the Company had four loans which were greater than 90 days delinquent and were in various stages of resolution, including legal proceedings, environmental concerns and foreclosure-related proceedings, and ranged from 1.0 to 7.0 years outstanding.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9,083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126,933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125,882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125,776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132,337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131,284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131,514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141,420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140,366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131,514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r>
      <w:tr>
        <w:trPr>
          <w:trHeight w:val="152"/>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0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Income</w:t>
            </w:r>
          </w:p>
        </w:tc>
      </w:tr>
      <w:tr>
        <w:trPr>
          <w:trHeight w:val="192"/>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Recognized</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4,542</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126,843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Amortized Cost</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Estimated Fair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Net Carrying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41,175</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46,928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46,740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46,711</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57"/>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62,360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22" w:right="5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other investments and its proportionate share of earnings (losses) from equity method investments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Equity in Earnings (Losses)</w:t>
            </w:r>
          </w:p>
        </w:tc>
      </w:tr>
      <w:tr>
        <w:trPr>
          <w:trHeight w:val="276"/>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Carrying Value as of</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7"/>
              </w:rPr>
              <w:t>For the Three Months Ended March 31,</w:t>
            </w:r>
          </w:p>
        </w:tc>
      </w:tr>
      <w:tr>
        <w:trPr>
          <w:trHeight w:val="264"/>
        </w:trPr>
        <w:tc>
          <w:tcPr>
            <w:tcW w:w="4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22"/>
                <w:szCs w:val="22"/>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equity investments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68,043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69,096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1,633</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investments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57,734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73,525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Marina Palms, LLC ("Marina Palms")</w:t>
            </w: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8,221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4,520</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233,990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254,172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6,547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-98425</wp:posOffset>
            </wp:positionV>
            <wp:extent cx="4047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500" w:hanging="492"/>
        <w:spacing w:after="0" w:line="255"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conjunction with the sale of the Company's interests in Oak Hill Advisors, L.P. in 2011, the Company retained a share of the carried interest related to various funds. During the three months ended March 31, 2016 and 2015, the Company recognized $3.2 million and $1.5 million, respectively, of carried interest income.</w:t>
      </w:r>
    </w:p>
    <w:p>
      <w:pPr>
        <w:spacing w:after="0" w:line="13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March 31, 2016, the Company's other real estate equity investments included equity interests in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ventures ranging from 19% to 76%, comprised of investments of $12.0 million in operating properties and $68.6 million in land assets. As of December 31, 2015, the Company's other real estate equity investments included $11.1 million in operating properties and $64.0 million in land assets.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during 2014 the Company contributed land to a newly formed unconsolidated entity in which the Company received an initial equity interest of 85.7%. This entity is a VIE and the Company does not have controlling interest due to shared control of the entity with its partner. As of March 31, 2016 and December 31, 2015, the Company had a recorded equity interest of $4.5 million and $6.3 million, respectively. Additionally, the Company committed to provide $45.7 million of mezzanine financing to the entity. As of March 31, 2016, the loan balance was $34.5 million and is included in "Loans receivable and other lending investments, net" on the Company's consolidated balance sheets. During the three months ended March 31, 2016 and 2015, the Company recorded $1.2 million and $0.6 million of interest income, respectively, relating to this loan.</w:t>
      </w:r>
    </w:p>
    <w:p>
      <w:pPr>
        <w:spacing w:after="0" w:line="12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color w:val="auto"/>
        </w:rPr>
        <w:t>Net Lease Venture</w:t>
      </w:r>
      <w:r>
        <w:rPr>
          <w:rFonts w:ascii="Arial" w:cs="Arial" w:eastAsia="Arial" w:hAnsi="Arial"/>
          <w:sz w:val="17"/>
          <w:szCs w:val="17"/>
          <w:color w:val="auto"/>
        </w:rPr>
        <w:t>—In February 2014, the Company partnered with a sovereign wealth fund to form a new unconsolidated entity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an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As of March 31, 2016 and December 31, 2015, the venture's carrying value of total assets was $398.8 million and $400.2 million, respectively. During the three months ended March 31, 2016 and 2015, the Company recorded $0.4 million of management fees from the Net Lease Venture and are included in "Other income" in the Company's consolidated statements of operations.</w:t>
      </w:r>
    </w:p>
    <w:p>
      <w:pPr>
        <w:spacing w:after="0" w:line="12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Other investments</w:t>
      </w:r>
      <w:r>
        <w:rPr>
          <w:rFonts w:ascii="Arial" w:cs="Arial" w:eastAsia="Arial" w:hAnsi="Arial"/>
          <w:sz w:val="16"/>
          <w:szCs w:val="16"/>
          <w:color w:val="auto"/>
        </w:rPr>
        <w:t>—As of March 31, 2016, the Company also had smaller investments in real estate related funds and other strategic investments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several other entities that were accounted for under the equity method or cost method. As of March 31, 2016 and December 31, 2015, the carrying value of the Company's cost method investments was $1.5 million. During the three months ended March 31, 2015, the Company sold available-for-sale securities for proceeds of $7.3 million for gains of $2.5 million, which are included in "Other income" in the Company's consolidated statements of operations. The amount reclassified out of accumulated other comprehensive income into earnings was determined based on the specific identification method.</w:t>
      </w:r>
    </w:p>
    <w:p>
      <w:pPr>
        <w:spacing w:after="0" w:line="11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Marina Palms</w:t>
      </w:r>
      <w:r>
        <w:rPr>
          <w:rFonts w:ascii="Arial" w:cs="Arial" w:eastAsia="Arial" w:hAnsi="Arial"/>
          <w:sz w:val="18"/>
          <w:szCs w:val="18"/>
          <w:color w:val="auto"/>
        </w:rPr>
        <w:t>—As of March 31, 2016, the Company owned a 47.5% equity interest in Marina Palms, a residential condominium development.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entity is not a VIE and the Company does not have controlling interest due to shared control of the entity with its partner. As of March 31, 2016 and December 31, 2015, the venture's carrying value of total assets was $230.8 million and $278.5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32"/>
        <w:spacing w:after="0" w:line="313" w:lineRule="auto"/>
        <w:rPr>
          <w:sz w:val="20"/>
          <w:szCs w:val="20"/>
          <w:color w:val="auto"/>
        </w:rPr>
      </w:pPr>
      <w:r>
        <w:rPr>
          <w:rFonts w:ascii="Arial" w:cs="Arial" w:eastAsia="Arial" w:hAnsi="Arial"/>
          <w:sz w:val="17"/>
          <w:szCs w:val="17"/>
          <w:b w:val="1"/>
          <w:bCs w:val="1"/>
          <w:color w:val="auto"/>
        </w:rPr>
        <w:t>Summarized investee financial information</w:t>
      </w:r>
      <w:r>
        <w:rPr>
          <w:rFonts w:ascii="Arial" w:cs="Arial" w:eastAsia="Arial" w:hAnsi="Arial"/>
          <w:sz w:val="17"/>
          <w:szCs w:val="17"/>
          <w:color w:val="auto"/>
        </w:rPr>
        <w:t>—The following table presents the investee level summarized financial information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investments, which were significant subsidiaries for the three months ended March 31, 2016 and 2015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38"/>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18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Arial" w:cs="Arial" w:eastAsia="Arial" w:hAnsi="Arial"/>
                <w:sz w:val="14"/>
                <w:szCs w:val="14"/>
                <w:b w:val="1"/>
                <w:bCs w:val="1"/>
                <w:color w:val="auto"/>
                <w:w w:val="97"/>
              </w:rPr>
              <w:t>Parent Entities</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50,628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Venture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 Venture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70"/>
        </w:trPr>
        <w:tc>
          <w:tcPr>
            <w:tcW w:w="5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69,647</w:t>
            </w: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71,446</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36,999</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179,310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Intangible assets, net includes above market and in-place lease assets related to the acquisition of real estate assets. This balance also includes a lease incentive asset of $38.1 million (refer to Note 4). Accumulated amortization on intangible assets, net was $37.7 million and $37.3 million as of March 31, 2016 and December 31, 2015, respectively. The amortization of above market leases and lease incentive assets decreased operating lease income in the Company's consolidated statements of operations by $1.2 million and $2.3 million for the three months ended March 31, 2016 and 2015, respectively. These intangible lease assets are amortized over the term of the lease. The amortization expense for in-place leases was $0.5 million and $1.5 million for the three months ended March 31, 2016 and 2015, respectively. These amounts are included in "Depreciation and amortization" in the Company's consolidated statements of operations.</w:t>
      </w:r>
    </w:p>
    <w:p>
      <w:pPr>
        <w:spacing w:after="0" w:line="2"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$7.0 million receivable related to the sale of a land parcel in 2015.</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Accumulated amortization of leasing costs was $9.4 million and $9.8 million as of March 31, 2016 and December 31, 2015,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$8.3 million and $8.1 million as of March 31, 2016 and December 31, 2015,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70"/>
        </w:trPr>
        <w:tc>
          <w:tcPr>
            <w:tcW w:w="58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85,327</w:t>
            </w: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80,332</w:t>
            </w:r>
          </w:p>
        </w:tc>
        <w:tc>
          <w:tcPr>
            <w:tcW w:w="0" w:type="dxa"/>
            <w:vAlign w:val="bottom"/>
          </w:tcPr>
          <w:p>
            <w:pPr>
              <w:spacing w:after="0"/>
              <w:rPr>
                <w:sz w:val="1"/>
                <w:szCs w:val="1"/>
                <w:color w:val="auto"/>
              </w:rPr>
            </w:pPr>
          </w:p>
        </w:tc>
      </w:tr>
      <w:tr>
        <w:trPr>
          <w:trHeight w:val="270"/>
        </w:trPr>
        <w:tc>
          <w:tcPr>
            <w:tcW w:w="5880" w:type="dxa"/>
            <w:vAlign w:val="bottom"/>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65,226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68,937</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55,081</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Accounts payable, accrued expenses and other liabilities</w:t>
            </w:r>
            <w:r>
              <w:rPr>
                <w:rFonts w:ascii="Arial" w:cs="Arial" w:eastAsia="Arial" w:hAnsi="Arial"/>
                <w:sz w:val="25"/>
                <w:szCs w:val="25"/>
                <w:color w:val="auto"/>
                <w:vertAlign w:val="superscript"/>
              </w:rPr>
              <w:t>(4)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214,835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2016 and December 31, 2015, "Other liabilities" includes $14.5 million related to a profit sharing payable to a developer for residential units sold and $4.6 million and $4.4 million, respectively, associated with "Real estate available and held for sale" on the Company's consolidated balance sheets. As of March 31, 2016 and December 31, 2015, "Other liabilities" also includes $7.3 million and $6.6 million, respectively, related to tax increment financing bonds which were issued by government entities to fund development within two of the Company's land projects. The amount represents tax assessments associated with each project, which will decrease as the Company sells units. As of March 31, 2016 and December 31, 2015, includes $0.3 million and $0.9 million, respectively, related to share repurchases that settled in April 2016 and January 2016, respectively. As of March 31, 2016 and December 31, 2015, includes $6.0 million of deferred net revenue in connection with the sale of a land and development asset. As of March 31, 2016, includes $0.8 million of deferred financing costs that had not yet been paid in cash. As of December 31, 2015, included $5.7 million of deferred revenue in connection with the sale of a land and development asset in 2015. This amount was recognized in land development revenue during the three months ended March 31, 2016.</w:t>
      </w:r>
    </w:p>
    <w:p>
      <w:pPr>
        <w:spacing w:after="0" w:line="3"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2016 and December 31, 2015, accrued expenses includes $3.9 million and $5.3 million, respectively, associated with "Real estate available and held for sale" on the Company's consolidated balance sheets.</w:t>
      </w:r>
    </w:p>
    <w:p>
      <w:pPr>
        <w:jc w:val="both"/>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Intangible liabilities, net includes below market lease liabilities related to the acquisition of real estate assets. Accumulated amortization on below market leases was $6.5 million and $6.6 million as of March 31, 2016 and December 31, 2015, respectively. The amortization of below market leases increased operating lease income in the Company's consolidated statements of operations by $0.3 million and $0.4 million for the three months ended March 31, 2016 and 2015,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2016 and December 31, 2015, includes $29.2 million and $26.2 million, respectively, of capital expenditures that had not yet been paid in cash.</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2"/>
                <w:szCs w:val="22"/>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2015</w:t>
            </w:r>
          </w:p>
        </w:tc>
      </w:tr>
      <w:tr>
        <w:trPr>
          <w:trHeight w:val="270"/>
        </w:trPr>
        <w:tc>
          <w:tcPr>
            <w:tcW w:w="44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tax assets (liabilities)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53,678</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53,910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(53,910)</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-98425</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jc w:val="both"/>
        <w:ind w:left="500" w:hanging="492"/>
        <w:spacing w:after="0" w:line="248"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Deferred tax assets as of March 31, 2016 include timing differences related primarily to asset basis of $36.0 million, deferred expenses and other items of $16.0 million and net operating loss ("NOL") carryforwards of $1.7 million. Deferred tax assets as of December 31, 2015, include timing differences related primarily to asset basis of $40.0 million, deferred expenses and other items of $10.7 million and NOL carryforwards of $3.2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year ended December 31, 2015, the Company transferred to a third party a $100.0 million junior loan participation in a $250.0 million mezzanine loan commitment that it had previously originated. The Company had funded $38.9 million of the junior loan prior to transfer and received proceeds of $38.9 million upon transfer. The transferee is responsible for funding the remaining $61.1 million under the junior loan commitment, which bears interest at a rate of 5.90%. The Company will fund these commitments if the transferee defaults. For the three months ended March 31, 2016, the transferee funded an additional $1.9 million directly to the borrower. As of March 31, 2016, the balance of the loan was $54.9 million.</w:t>
      </w:r>
    </w:p>
    <w:p>
      <w:pPr>
        <w:spacing w:after="0" w:line="13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year ended December 31, 2015, the Company transferred to a third party a $100.0 million senior loan participation in a $220.2 million senior loan commitment that it had previously originated. The transferred participation bears interest at a rate of LIBOR+ 3.50% with a LIBOR floor of 0.25%. The Company had fully funded the $100.0 million transferred participation prior to transfer and received net proceeds of $99.2 million.</w:t>
      </w:r>
    </w:p>
    <w:p>
      <w:pPr>
        <w:spacing w:after="0" w:line="1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transfers of financial assets did not meet the sales criteria established under ASC Topic 860 and have been accounted for as loan participations payable as of March 31, 2016 and December 31, 2015, with balances, net of a discount and debt issuance costs, of $154.1 million and $152.1 million, respectively. As of March 31, 2016 and December 31, 2015, the corresponding loan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receivable balances were $154.9 million and $153.0 million, respectively, and are included in "Loans receivable and other lending investments, net" on the Company's consolidated balance sheets. The principal and interest due on these participations are paid from cash flows of the corresponding loans receivable, which serve as collateral for the participations.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and December 31, 2015, the Company's debt obligations were as follows ($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w:t>
            </w:r>
          </w:p>
        </w:tc>
        <w:tc>
          <w:tcPr>
            <w:tcW w:w="46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6"/>
                <w:szCs w:val="6"/>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December 31, 2015</w:t>
            </w: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Rates</w:t>
            </w:r>
          </w:p>
        </w:tc>
        <w:tc>
          <w:tcPr>
            <w:tcW w:w="4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Secured credit facilities and term loans: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100" w:type="dxa"/>
            <w:vAlign w:val="bottom"/>
            <w:vMerge w:val="restart"/>
          </w:tcPr>
          <w:p>
            <w:pPr>
              <w:ind w:left="160"/>
              <w:spacing w:after="0"/>
              <w:rPr>
                <w:sz w:val="20"/>
                <w:szCs w:val="20"/>
                <w:color w:val="auto"/>
              </w:rPr>
            </w:pPr>
            <w:r>
              <w:rPr>
                <w:rFonts w:ascii="Arial" w:cs="Arial" w:eastAsia="Arial" w:hAnsi="Arial"/>
                <w:sz w:val="16"/>
                <w:szCs w:val="16"/>
                <w:color w:val="auto"/>
              </w:rPr>
              <w:t>2012 Tranche A-2 Facility</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ind w:right="20"/>
              <w:spacing w:after="0"/>
              <w:rPr>
                <w:sz w:val="20"/>
                <w:szCs w:val="20"/>
                <w:color w:val="auto"/>
              </w:rPr>
            </w:pPr>
            <w:r>
              <w:rPr>
                <w:rFonts w:ascii="Arial" w:cs="Arial" w:eastAsia="Arial" w:hAnsi="Arial"/>
                <w:sz w:val="16"/>
                <w:szCs w:val="16"/>
                <w:color w:val="auto"/>
              </w:rPr>
              <w:t>325,123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339,717</w:t>
            </w:r>
          </w:p>
        </w:tc>
        <w:tc>
          <w:tcPr>
            <w:tcW w:w="120" w:type="dxa"/>
            <w:vAlign w:val="bottom"/>
          </w:tcPr>
          <w:p>
            <w:pPr>
              <w:spacing w:after="0"/>
              <w:rPr>
                <w:sz w:val="14"/>
                <w:szCs w:val="14"/>
                <w:color w:val="auto"/>
              </w:rPr>
            </w:pPr>
          </w:p>
        </w:tc>
        <w:tc>
          <w:tcPr>
            <w:tcW w:w="1620" w:type="dxa"/>
            <w:vAlign w:val="bottom"/>
            <w:vMerge w:val="restart"/>
          </w:tcPr>
          <w:p>
            <w:pPr>
              <w:jc w:val="right"/>
              <w:ind w:right="83"/>
              <w:spacing w:after="0"/>
              <w:rPr>
                <w:sz w:val="20"/>
                <w:szCs w:val="20"/>
                <w:color w:val="auto"/>
              </w:rPr>
            </w:pPr>
            <w:r>
              <w:rPr>
                <w:rFonts w:ascii="Arial" w:cs="Arial" w:eastAsia="Arial" w:hAnsi="Arial"/>
                <w:sz w:val="16"/>
                <w:szCs w:val="16"/>
                <w:color w:val="auto"/>
              </w:rPr>
              <w:t>LIBOR + 5.75%</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(1)</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2"/>
              </w:rPr>
              <w:t>March 2017</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1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2015 Revolving Credit Facility</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245,000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Various</w:t>
            </w:r>
          </w:p>
        </w:tc>
        <w:tc>
          <w:tcPr>
            <w:tcW w:w="4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March 2018</w:t>
            </w:r>
          </w:p>
        </w:tc>
        <w:tc>
          <w:tcPr>
            <w:tcW w:w="0" w:type="dxa"/>
            <w:vAlign w:val="bottom"/>
          </w:tcPr>
          <w:p>
            <w:pPr>
              <w:spacing w:after="0"/>
              <w:rPr>
                <w:sz w:val="1"/>
                <w:szCs w:val="1"/>
                <w:color w:val="auto"/>
              </w:rPr>
            </w:pPr>
          </w:p>
        </w:tc>
      </w:tr>
      <w:tr>
        <w:trPr>
          <w:trHeight w:val="83"/>
        </w:trPr>
        <w:tc>
          <w:tcPr>
            <w:tcW w:w="410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20" w:type="dxa"/>
            <w:vAlign w:val="bottom"/>
            <w:tcBorders>
              <w:bottom w:val="single" w:sz="8" w:color="CCEEFF"/>
            </w:tcBorders>
            <w:vMerge w:val="continue"/>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7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100" w:type="dxa"/>
            <w:vAlign w:val="bottom"/>
            <w:vMerge w:val="restart"/>
          </w:tcPr>
          <w:p>
            <w:pPr>
              <w:ind w:left="160"/>
              <w:spacing w:after="0"/>
              <w:rPr>
                <w:sz w:val="20"/>
                <w:szCs w:val="20"/>
                <w:color w:val="auto"/>
              </w:rPr>
            </w:pPr>
            <w:r>
              <w:rPr>
                <w:rFonts w:ascii="Arial" w:cs="Arial" w:eastAsia="Arial" w:hAnsi="Arial"/>
                <w:sz w:val="16"/>
                <w:szCs w:val="16"/>
                <w:color w:val="auto"/>
              </w:rPr>
              <w:t>Term loans collateralized by net lease assets</w:t>
            </w:r>
          </w:p>
        </w:tc>
        <w:tc>
          <w:tcPr>
            <w:tcW w:w="240" w:type="dxa"/>
            <w:vAlign w:val="bottom"/>
          </w:tcPr>
          <w:p>
            <w:pPr>
              <w:spacing w:after="0"/>
              <w:rPr>
                <w:sz w:val="14"/>
                <w:szCs w:val="14"/>
                <w:color w:val="auto"/>
              </w:rPr>
            </w:pPr>
          </w:p>
        </w:tc>
        <w:tc>
          <w:tcPr>
            <w:tcW w:w="1440" w:type="dxa"/>
            <w:vAlign w:val="bottom"/>
            <w:vMerge w:val="restart"/>
          </w:tcPr>
          <w:p>
            <w:pPr>
              <w:jc w:val="right"/>
              <w:ind w:right="20"/>
              <w:spacing w:after="0"/>
              <w:rPr>
                <w:sz w:val="20"/>
                <w:szCs w:val="20"/>
                <w:color w:val="auto"/>
              </w:rPr>
            </w:pPr>
            <w:r>
              <w:rPr>
                <w:rFonts w:ascii="Arial" w:cs="Arial" w:eastAsia="Arial" w:hAnsi="Arial"/>
                <w:sz w:val="16"/>
                <w:szCs w:val="16"/>
                <w:color w:val="auto"/>
              </w:rPr>
              <w:t>237,297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239,547</w:t>
            </w:r>
          </w:p>
        </w:tc>
        <w:tc>
          <w:tcPr>
            <w:tcW w:w="1740" w:type="dxa"/>
            <w:vAlign w:val="bottom"/>
            <w:gridSpan w:val="2"/>
            <w:vMerge w:val="restart"/>
          </w:tcPr>
          <w:p>
            <w:pPr>
              <w:jc w:val="right"/>
              <w:ind w:right="83"/>
              <w:spacing w:after="0"/>
              <w:rPr>
                <w:sz w:val="20"/>
                <w:szCs w:val="20"/>
                <w:color w:val="auto"/>
              </w:rPr>
            </w:pPr>
            <w:r>
              <w:rPr>
                <w:rFonts w:ascii="Arial" w:cs="Arial" w:eastAsia="Arial" w:hAnsi="Arial"/>
                <w:sz w:val="16"/>
                <w:szCs w:val="16"/>
                <w:color w:val="auto"/>
              </w:rPr>
              <w:t>4.851% - 7.26%</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(3)</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1"/>
              </w:rPr>
              <w:t>Various through 2026</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secured credit facilities and term loans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829,264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Unsecured notes: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5.875%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261,403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3.875% senior notes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265,000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3.875%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2016</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3.00% senior convertible notes</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46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2016</w:t>
            </w:r>
          </w:p>
        </w:tc>
        <w:tc>
          <w:tcPr>
            <w:tcW w:w="0" w:type="dxa"/>
            <w:vAlign w:val="bottom"/>
          </w:tcPr>
          <w:p>
            <w:pPr>
              <w:spacing w:after="0"/>
              <w:rPr>
                <w:sz w:val="1"/>
                <w:szCs w:val="1"/>
                <w:color w:val="auto"/>
              </w:rPr>
            </w:pPr>
          </w:p>
        </w:tc>
      </w:tr>
      <w:tr>
        <w:trPr>
          <w:trHeight w:val="270"/>
        </w:trPr>
        <w:tc>
          <w:tcPr>
            <w:tcW w:w="4100" w:type="dxa"/>
            <w:vAlign w:val="bottom"/>
          </w:tcPr>
          <w:p>
            <w:pPr>
              <w:ind w:left="160"/>
              <w:spacing w:after="0"/>
              <w:rPr>
                <w:sz w:val="20"/>
                <w:szCs w:val="20"/>
                <w:color w:val="auto"/>
              </w:rPr>
            </w:pPr>
            <w:r>
              <w:rPr>
                <w:rFonts w:ascii="Arial" w:cs="Arial" w:eastAsia="Arial" w:hAnsi="Arial"/>
                <w:sz w:val="16"/>
                <w:szCs w:val="16"/>
                <w:color w:val="auto"/>
              </w:rPr>
              <w:t>1.50% senior convertible notes</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November 2016</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5.85%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99,722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March 2017</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9.00% senior notes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8"/>
              </w:rPr>
              <w:t>June 2017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4.00%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November 2017</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7.125% senior notes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7.125%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February 2018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4.875%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4.875%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2018</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5.00% senior notes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770,000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770,000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2019</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6.50% senior notes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2021</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Total unsecured notes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3,234,722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3,221,125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Other debt obligations</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620" w:type="dxa"/>
            <w:vAlign w:val="bottom"/>
          </w:tcPr>
          <w:p>
            <w:pPr>
              <w:jc w:val="right"/>
              <w:ind w:right="83"/>
              <w:spacing w:after="0"/>
              <w:rPr>
                <w:sz w:val="20"/>
                <w:szCs w:val="20"/>
                <w:color w:val="auto"/>
              </w:rPr>
            </w:pPr>
            <w:r>
              <w:rPr>
                <w:rFonts w:ascii="Arial" w:cs="Arial" w:eastAsia="Arial" w:hAnsi="Arial"/>
                <w:sz w:val="16"/>
                <w:szCs w:val="16"/>
                <w:color w:val="auto"/>
              </w:rPr>
              <w:t>LIBOR + 1.50%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October 2035</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4,142,142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4,150,389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Debt discounts and deferred financing costs, net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(31,566)</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obligations, net</w:t>
            </w:r>
            <w:r>
              <w:rPr>
                <w:rFonts w:ascii="Arial" w:cs="Arial" w:eastAsia="Arial" w:hAnsi="Arial"/>
                <w:sz w:val="21"/>
                <w:szCs w:val="21"/>
                <w:b w:val="1"/>
                <w:bCs w:val="1"/>
                <w:color w:val="auto"/>
                <w:vertAlign w:val="superscript"/>
              </w:rPr>
              <w:t>(6)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4,110,730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4,118,823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-98425</wp:posOffset>
            </wp:positionV>
            <wp:extent cx="21355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loan has a LIBOR floor of 1.25%. As of March 31, 2016, inclusive of the floor, the 2012 Tranche A-2 Facility loan incurred interest at a rate of 7.00%.</w:t>
      </w:r>
    </w:p>
    <w:p>
      <w:pPr>
        <w:spacing w:after="0" w:line="1"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of March 31, 2016 and December 31, 2015, includes a loan with a floating rate of LIBOR plus 2.00%. As of March 31, 2016, the weighted average interest rate of these loans is 5.2%.</w:t>
      </w:r>
    </w:p>
    <w:p>
      <w:pPr>
        <w:spacing w:after="0" w:line="12" w:lineRule="exact"/>
        <w:rPr>
          <w:rFonts w:ascii="Arial" w:cs="Arial" w:eastAsia="Arial" w:hAnsi="Arial"/>
          <w:sz w:val="13"/>
          <w:szCs w:val="13"/>
          <w:color w:val="auto"/>
        </w:rPr>
      </w:pPr>
    </w:p>
    <w:p>
      <w:pPr>
        <w:ind w:left="500" w:hanging="492"/>
        <w:spacing w:after="0" w:line="241"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3.00% senior convertible fixed rate notes due November 2016 ("3.00% Convertible Notes") are convertible at the option of the holders, into 85.0 shares per $1,000 principal amount of 3.00% Convertible Notes, at $11.77 per share at any time prior to the close of business on November 14, 2016.</w:t>
      </w:r>
    </w:p>
    <w:p>
      <w:pPr>
        <w:ind w:left="500" w:hanging="492"/>
        <w:spacing w:after="0" w:line="241"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$17.29 per share at any time prior to the close of business on November 14, 2016.</w:t>
      </w: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$1.4 million and $1.5 million for the three months ended March 31, 2016 and 2015, respectively.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March 31, 2016, future scheduled maturities of outstanding debt obligations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Secured Debt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2016 (remaining nine months)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665,000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325,123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1,249,845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857,780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800,401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194,116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569,116</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4,142,142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Unamortized discounts and deferred financing costs, net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(31,412)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3,306,047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804,683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4,110,730</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-98425</wp:posOffset>
            </wp:positionV>
            <wp:extent cx="3353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$265.0 million principal amount of senior unsecured notes due July 2016 that were repaid in full in April 2016.</w:t>
      </w:r>
    </w:p>
    <w:p>
      <w:pPr>
        <w:spacing w:after="0" w:line="15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2015 Revolving Credit Facility</w:t>
      </w:r>
      <w:r>
        <w:rPr>
          <w:rFonts w:ascii="Arial" w:cs="Arial" w:eastAsia="Arial" w:hAnsi="Arial"/>
          <w:sz w:val="17"/>
          <w:szCs w:val="17"/>
          <w:color w:val="auto"/>
        </w:rPr>
        <w:t>—On March 27, 2015, the Company entered into a secured revolving credit facility with a maximum capacity of $250.0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(the "2015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 based on average utilization each quarter. During the three months ended March 31, 2016, the weighted average cost of the credit facility was 3.18%. Commitments under the revolving facility mature in March 2018. At maturity, the Company may convert outstanding borrowings to a one year term loan which matures in quarterly installments through March 2019.</w:t>
      </w:r>
    </w:p>
    <w:p>
      <w:pPr>
        <w:spacing w:after="0" w:line="13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the Company entered into an $880.0 million senior secured credit agreement providing for two</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term loans: a $410.0 million 2012 A-1 tranche due March 2016, which accrued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the Company. The Company may also make optional prepayments, subject to prepayment fees. The 2012 Tranche A-1 Facility was fully repaid in August 2013. Additionally, through March 31, 2016, the Company made cumulative amortization repayments of $144.9 million on the 2012 Tranche A-2 Facility. For the three months ended March 31, 2016 and 2015, repayments of the 2012 Tranche A-2 Facility prior to maturity resulted in losses on early extinguishment of debt of $0.1 million and $0.2 million, respectively, related to the accelerated amortization of discounts and unamortized deferred financing fees on the portion of the facility that was repaid. These amounts are included in "Loss on early extinguishment of debt, net" in the Company's consolidated statements of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March 2016, the Company repaid its $261.4 million principal amount of 5.875% senior unsecured notes at maturity using</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cash. In addition, in March 2016 the Company issued $275.0 million principal amount of 6.50% senior unsecured notes due July 2021. Proceeds from the offering were used to repay $5.0 million of the 2015 Revolving Credit Facility, pay related financing costs and, subsequent to the end of the quarter, repay in full the $265.0 million principal amount of senior unsecured notes due July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2016 and December 31, 2015,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79"/>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772,050</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157,347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1,361,735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885,372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1,010,011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4,363,862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1,037,542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March 31, 2016 and December 31, 2015, the amounts presented exclude general reserves for loan losses of $36.6 million and $36.0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March 31, 2016 and December 31, 2015, the amount presented excludes loan participations of $154.9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While the Company's ability to incur additional indebtedness under the fixed charge coverage ratio is currently limited, the Company is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the Company to maintain collateral coverage of at least 1.25x outstanding borrowings on the facilities. The 2015 Revolving Credit Facility is secured by a borrowing base of assets and requires the Company to maintain both collateral coverage of at least 1.5x outstanding borrowings on the facility and a consolidated ratio of cash flow to fixed charges of at least 1.5x. The 2015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2012 Secured Credit Facilities and the 2015 Revolving Credit Facility permit the Company to distribute 100% of its REIT taxable income on an annual basis (prior to deducting certain cumulative NOL carryforwards in the case of the 2015 Revolving Credit Facility). The Company may not pay common dividends if it ceases to qualify as a REIT.</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2016,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Loans and Other Lending</w:t>
            </w:r>
          </w:p>
        </w:tc>
        <w:tc>
          <w:tcPr>
            <w:tcW w:w="320" w:type="dxa"/>
            <w:vAlign w:val="bottom"/>
          </w:tcPr>
          <w:p>
            <w:pPr>
              <w:spacing w:after="0"/>
              <w:rPr>
                <w:sz w:val="14"/>
                <w:szCs w:val="14"/>
                <w:color w:val="auto"/>
              </w:rPr>
            </w:pPr>
          </w:p>
        </w:tc>
        <w:tc>
          <w:tcPr>
            <w:tcW w:w="15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4"/>
                <w:szCs w:val="14"/>
                <w:color w:val="auto"/>
              </w:rPr>
            </w:pPr>
          </w:p>
        </w:tc>
        <w:tc>
          <w:tcPr>
            <w:tcW w:w="136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Investments</w:t>
            </w:r>
          </w:p>
        </w:tc>
        <w:tc>
          <w:tcPr>
            <w:tcW w:w="3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Investments</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789,220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3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45,978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45,978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757,417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65,620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840,198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On October 30, 2014, the Circuit Court granted the defendants’ Motions to Dismiss and plaintiffs’ claims against all of the defendants in this action were dismissed. Plaintiffs appealed the Circuit Court's dismissal of their claims against the Company and all other defendants. On January 28, 2016, the Court of Special Appeals affirmed the order of the Circuit Court, holding that the Circuit Court properly dismissed plaintiffs' claims against all defendants, including the Company. On March 16, 2016, plaintiffs filed a petition for certiorari with the Maryland Court of Appeals, requesting that the Court of Appeals reverse the decision of the Court of Special Appeals. We have filed a response in opposition, arguing that the petition for certiorari should be denied. Action on the petition for certiorari is pending.</w:t>
      </w:r>
    </w:p>
    <w:p>
      <w:pPr>
        <w:spacing w:after="0" w:line="17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70"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In the pending appeal before the United States Court of Appeals for the Fourth Circuit, the parties have filed their respective briefs. Oral argument has not yet been scheduled. There can be no assurance as to the timing or actual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receipt by the Company of amounts awarded by the Court or the outcome of any appeal. A third party is entitled to a 7.8% participation interest in all proceeds paid to the Company.</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March 31, 2016 and December 31, 2015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Derivative Assets as of</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6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4"/>
              </w:rPr>
              <w:t>March 31, 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19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3"/>
                <w:szCs w:val="13"/>
                <w:color w:val="auto"/>
              </w:rPr>
            </w:pPr>
          </w:p>
        </w:tc>
        <w:tc>
          <w:tcPr>
            <w:tcW w:w="68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1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w w:val="96"/>
              </w:rPr>
              <w:t>Balance Sheet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3"/>
                <w:szCs w:val="13"/>
                <w:color w:val="auto"/>
              </w:rPr>
            </w:pPr>
          </w:p>
        </w:tc>
        <w:tc>
          <w:tcPr>
            <w:tcW w:w="7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in the consolidated statements of operations and the consolidated statements of comprehensive income (loss) for the three months ended March 31, 2016 and 2015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92"/>
              </w:rPr>
              <w:t>Amount of Gain (Loss)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82"/>
              <w:spacing w:after="0"/>
              <w:rPr>
                <w:sz w:val="20"/>
                <w:szCs w:val="20"/>
                <w:color w:val="auto"/>
              </w:rPr>
            </w:pPr>
            <w:r>
              <w:rPr>
                <w:rFonts w:ascii="Arial" w:cs="Arial" w:eastAsia="Arial" w:hAnsi="Arial"/>
                <w:sz w:val="14"/>
                <w:szCs w:val="14"/>
                <w:b w:val="1"/>
                <w:bCs w:val="1"/>
                <w:color w:val="auto"/>
                <w:w w:val="94"/>
              </w:rPr>
              <w:t>Amount of Gain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7"/>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4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102"/>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Income (Effective Portion)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2016</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(185)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2015</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Earnings from equity method</w:t>
            </w:r>
          </w:p>
        </w:tc>
        <w:tc>
          <w:tcPr>
            <w:tcW w:w="1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780" w:type="dxa"/>
            <w:vAlign w:val="bottom"/>
          </w:tcPr>
          <w:p>
            <w:pPr>
              <w:ind w:left="1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40" w:type="dxa"/>
            <w:vAlign w:val="bottom"/>
            <w:gridSpan w:val="4"/>
          </w:tcPr>
          <w:p>
            <w:pPr>
              <w:ind w:left="6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92"/>
              </w:rPr>
              <w:t>Amount of Gain (Loss)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7"/>
          </w:tcPr>
          <w:p>
            <w:pPr>
              <w:jc w:val="center"/>
              <w:ind w:left="562"/>
              <w:spacing w:after="0"/>
              <w:rPr>
                <w:sz w:val="20"/>
                <w:szCs w:val="20"/>
                <w:color w:val="auto"/>
              </w:rPr>
            </w:pPr>
            <w:r>
              <w:rPr>
                <w:rFonts w:ascii="Arial" w:cs="Arial" w:eastAsia="Arial" w:hAnsi="Arial"/>
                <w:sz w:val="14"/>
                <w:szCs w:val="14"/>
                <w:b w:val="1"/>
                <w:bCs w:val="1"/>
                <w:color w:val="auto"/>
                <w:w w:val="91"/>
              </w:rPr>
              <w:t>Recognized in Income</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4"/>
              </w:rPr>
              <w:t>Location of Gain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gridSpan w:val="3"/>
            <w:vMerge w:val="restart"/>
          </w:tcPr>
          <w:p>
            <w:pPr>
              <w:jc w:val="center"/>
              <w:ind w:left="321"/>
              <w:spacing w:after="0" w:line="139" w:lineRule="exact"/>
              <w:rPr>
                <w:sz w:val="20"/>
                <w:szCs w:val="20"/>
                <w:color w:val="auto"/>
              </w:rPr>
            </w:pPr>
            <w:r>
              <w:rPr>
                <w:rFonts w:ascii="Arial" w:cs="Arial" w:eastAsia="Arial" w:hAnsi="Arial"/>
                <w:sz w:val="14"/>
                <w:szCs w:val="14"/>
                <w:b w:val="1"/>
                <w:bCs w:val="1"/>
                <w:color w:val="auto"/>
                <w:w w:val="90"/>
              </w:rPr>
              <w:t>(Loss) Recognized in</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8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4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1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(803)</w:t>
            </w:r>
          </w:p>
        </w:tc>
        <w:tc>
          <w:tcPr>
            <w:tcW w:w="1060" w:type="dxa"/>
            <w:vAlign w:val="bottom"/>
            <w:tcBorders>
              <w:bottom w:val="single" w:sz="8" w:color="CCEEFF"/>
            </w:tcBorders>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(2,036)</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90"/>
              </w:rPr>
              <w:t>(182)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2,289</w:t>
            </w: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March 31, 2016, the Company had the following outstanding foreign currency derivatives that were used to hedge its net investments in foreign operations that were designated ($ and Rs in thousands):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Notional</w:t>
            </w:r>
          </w:p>
        </w:tc>
        <w:tc>
          <w:tcPr>
            <w:tcW w:w="15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(USD Equivalent)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December 2016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March 31, 2016, the Company had the following outstanding foreign currency derivatives that were used to hedge its net investments in foreign operations that were not designated ($, €, and £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April 2016</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Arial" w:cs="Arial" w:eastAsia="Arial" w:hAnsi="Arial"/>
                <w:sz w:val="18"/>
                <w:szCs w:val="18"/>
                <w:color w:val="auto"/>
                <w:w w:val="96"/>
              </w:rPr>
              <w:t>April 2016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(losses) related to foreign investments of $0.1 million and $(0.1) million during the three months ended March 31, 2016 and 2015, respectively, in its consolidated statements of operations.</w:t>
      </w:r>
    </w:p>
    <w:p>
      <w:pPr>
        <w:spacing w:after="0" w:line="12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Interest Rate Hedges</w:t>
      </w:r>
      <w:r>
        <w:rPr>
          <w:rFonts w:ascii="Arial" w:cs="Arial" w:eastAsia="Arial" w:hAnsi="Arial"/>
          <w:sz w:val="17"/>
          <w:szCs w:val="17"/>
          <w:color w:val="auto"/>
        </w:rPr>
        <w:t>—For derivatives designated as cash flow hedges, the effective portion of changes in the fair value of the derivatives are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Accumulated Other Comprehensive Income (Loss). The ineffective portion of the change in fair value of the derivatives is recognized directly in the Company's consolidated statements of operations. As of March 31, 2016, the Company had the following outstanding interest rate swap that was used to hedge its variable rate debt that was designated as a cash flow hedge ($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26,801</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derivatives not designated as cash flow hedges, the changes in the fair value of the derivatives are reported in the Company's consolidated statements of operations within "Other Expense." As of March 31, 2016, the Company had the following outstanding interest rate cap that was used to hedge its variable rate debt that was not designated as a cash flow hedge ($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$0.2 million related to terminated cash flow hedges will be reclassified from "Accumulated other comprehensive income (loss)" into interest expense and $0.6 million relating to other cash flow hedges will be reclassified from "Accumulated other comprehensive income (loss)" into earnings.</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reports derivative instruments on a gross basis in the consolidated financial statements. In connection with its foreign currency derivatives which were in a liability position as of March 31, 2016 and December 31, 2015, the Company has posted collateral of $1.0 million as of both dates and is included in "Deferred expenses and other assets, net" on the Company's consolidated balance sheets. The Company's net exposure under these contracts was zero as of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December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Dividends</w:t>
            </w:r>
            <w:r>
              <w:rPr>
                <w:rFonts w:ascii="Arial" w:cs="Arial" w:eastAsia="Arial" w:hAnsi="Arial"/>
                <w:sz w:val="8"/>
                <w:szCs w:val="8"/>
                <w:b w:val="1"/>
                <w:bCs w:val="1"/>
                <w:color w:val="auto"/>
                <w:w w:val="94"/>
              </w:rPr>
              <w:t>(1)(2)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49"/>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w:t>
            </w:r>
          </w:p>
        </w:tc>
        <w:tc>
          <w:tcPr>
            <w:tcW w:w="1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Liquidation Preference</w:t>
            </w:r>
          </w:p>
        </w:tc>
        <w:tc>
          <w:tcPr>
            <w:tcW w:w="10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E</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1640" w:type="dxa"/>
            <w:vAlign w:val="bottom"/>
            <w:tcBorders>
              <w:bottom w:val="single" w:sz="8" w:color="CCEEFF"/>
            </w:tcBorders>
            <w:gridSpan w:val="2"/>
          </w:tcPr>
          <w:p>
            <w:pPr>
              <w:jc w:val="center"/>
              <w:ind w:right="100"/>
              <w:spacing w:after="0" w:line="269" w:lineRule="exact"/>
              <w:rPr>
                <w:sz w:val="20"/>
                <w:szCs w:val="20"/>
                <w:color w:val="auto"/>
              </w:rPr>
            </w:pPr>
            <w:r>
              <w:rPr>
                <w:rFonts w:ascii="Arial" w:cs="Arial" w:eastAsia="Arial" w:hAnsi="Arial"/>
                <w:sz w:val="31"/>
                <w:szCs w:val="31"/>
                <w:color w:val="auto"/>
                <w:w w:val="87"/>
                <w:vertAlign w:val="subscript"/>
              </w:rPr>
              <w:t>J</w:t>
            </w:r>
            <w:r>
              <w:rPr>
                <w:rFonts w:ascii="Arial" w:cs="Arial" w:eastAsia="Arial" w:hAnsi="Arial"/>
                <w:sz w:val="12"/>
                <w:szCs w:val="12"/>
                <w:color w:val="auto"/>
                <w:w w:val="87"/>
              </w:rPr>
              <w:t>(3)</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-98425</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declared and paid dividends of $2.0 million, $2.8 million, $2.0 million, $1.5 million and $2.3 million on its Series D, E, F, G and I Cumulative Redeemable Preferred Stock during the three months ended March 31, 2016 and 2015. The Company declared and paid dividends of $2.3 million on its Series J Convertible Perpetual Preferred Stock during the three months ended March 31, 2016 and 2015. All 2015 dividends qualified as a return of capital for tax reporting purposes. There are no dividend arrearages on any of the preferred shares currently outstanding.</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9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qualification as a REIT, the Company must currently distribute, at a minimum, an amount equal to 90%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income, excluding net capital gains, and must distribute 100% of its taxable income (including net capital gains) to avoid paying corporate federal income taxes. The Company has recorded NOLs and may record NOLs in the future, which may reduce its taxable income in future periods and lower or eliminate entirely the Company's obligation to pay dividends for such periods in order to maintain its REIT qualification. As of December 31, 2014, the Company had $856.4 million of NOL carryforwards at the corporate REIT level that can generally be used to offset both ordinary and capital taxable income in future years and will expire through 2034 if unused. The amount of NOL carryforwards as of December 31, 2015 will be determined upon finalization of the Company's 2015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2012 Tranche A-2 Facility and 2015 Revolving Credit Facility permit the Company to distribute 100% of its REIT taxable income on an annual basis (prior to deducting certain cumulative NOL carryforwards in the case of the 2015 Revolving Credit Facility), for so long as the Company maintains its qualification as a REIT. The 2012 Tranche A-2 Facility and 2015 Revolving Credit Facility restrict the Company from paying any common dividends if it ceases to qualify as a REIT. The Company did not declare or pay any common stock dividends for the three months ended March 31, 2016 and 2015.</w:t>
      </w:r>
    </w:p>
    <w:p>
      <w:pPr>
        <w:spacing w:after="0" w:line="17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—In February 2016, after having substantially utilized the remaining availability previously authorized,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authorized a new $50.0 million stock repurchase program. The program authorizes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repurchase of common stock from time to time in open market and privately negotiated purchases, including pursuant to one or more trading plans. During the three months ended March 31, 2016, the Company repurchased 5.8 million shares of its outstanding common stock for $58.1 million, at an average cost of $9.94 per share. During the three months ended March 31, 2015, the Company repurchased 44,000 shares of its outstanding common stock for $0.6 million, at an average cost of $12.66 per share. As of March 31, 2016 and December 31, 2015, the Company had remaining authorization to repurchase up to $40.6 million and $48.7 million, respectively, of common stock under its stock repurchase program.</w:t>
      </w:r>
    </w:p>
    <w:p>
      <w:pPr>
        <w:spacing w:after="0" w:line="169"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57"/>
        </w:trPr>
        <w:tc>
          <w:tcPr>
            <w:tcW w:w="584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$4.6 million and $3.2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2016 and 2015, respectively, in "General and administrative" in the Company's consolidated statements of operations. As of March 31, 2016, there was $2.7 million of total unrecognized compensation cost related to all unvested restricted stock units ("Units") that are expected to be recognized over a weighted average remaining vesting/service period of 1.77 years.</w:t>
      </w:r>
    </w:p>
    <w:p>
      <w:pPr>
        <w:spacing w:after="0" w:line="140"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Performance Incentive Plans</w:t>
      </w:r>
      <w:r>
        <w:rPr>
          <w:rFonts w:ascii="Arial" w:cs="Arial" w:eastAsia="Arial" w:hAnsi="Arial"/>
          <w:sz w:val="16"/>
          <w:szCs w:val="16"/>
          <w:color w:val="auto"/>
        </w:rPr>
        <w:t>—The Company's Performance Incentive Plan ("iPIP") is designed to provide, primarily to senior executives and select</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granted iPIP points.</w:t>
      </w:r>
    </w:p>
    <w:p>
      <w:pPr>
        <w:spacing w:after="0" w:line="142" w:lineRule="exact"/>
        <w:rPr>
          <w:sz w:val="20"/>
          <w:szCs w:val="20"/>
          <w:color w:val="auto"/>
        </w:rPr>
      </w:pPr>
    </w:p>
    <w:p>
      <w:pPr>
        <w:ind w:left="1360" w:hanging="299"/>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May 2014, the Company granted 73 iPIP points in the initial 2013-2014 investment pool.</w:t>
      </w:r>
    </w:p>
    <w:p>
      <w:pPr>
        <w:spacing w:after="0" w:line="198"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January 2015, the Company granted an additional 10 iPIP points in the 2013-2014 investment pool and 34 iPIP points in the 2015-2016 investment pool.</w:t>
      </w:r>
    </w:p>
    <w:p>
      <w:pPr>
        <w:spacing w:after="0" w:line="129"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January 2016, the Company granted an additional 10 iPIP points in the 2013-2014 investment pool and an additional 40 iPIP points in the 2015-2016 investment pool.</w:t>
      </w:r>
    </w:p>
    <w:p>
      <w:pPr>
        <w:spacing w:after="0" w:line="13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March 31, 2016 and December 31, 2015, the Company had accrued compensation costs relating to iPIP of $19.6 million and $16.6 million, respectively, which are included in "Accounts payable, accrued expenses and other liabilities" on the Company's consolidated balance sheets.</w:t>
      </w:r>
    </w:p>
    <w:p>
      <w:pPr>
        <w:spacing w:after="0" w:line="102"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Long-Term Incentive Plan</w:t>
      </w:r>
      <w:r>
        <w:rPr>
          <w:rFonts w:ascii="Arial" w:cs="Arial" w:eastAsia="Arial" w:hAnsi="Arial"/>
          <w:sz w:val="17"/>
          <w:szCs w:val="17"/>
          <w:color w:val="auto"/>
        </w:rPr>
        <w:t>—The Company's shareholders approved the Company's 2009 Long-Term Incentive Plan (the "2009 LTIP")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All awards under the 2009 LTIP are made at the discretion of the Company's Board of Directors or a committee of the Board of Directors.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2016, an aggregate of 3.6 million shares remain available for issuance pursuant to future awards under the Company's 2009 Long-Term Incentive Plan.</w:t>
      </w:r>
    </w:p>
    <w:p>
      <w:pPr>
        <w:spacing w:after="0" w:line="2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2007 Incentive Compensation Plan ("Incentive Plan") was approved and adopted by the Company's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Restricted Share Issuances</w:t>
      </w:r>
      <w:r>
        <w:rPr>
          <w:rFonts w:ascii="Arial" w:cs="Arial" w:eastAsia="Arial" w:hAnsi="Arial"/>
          <w:sz w:val="18"/>
          <w:szCs w:val="18"/>
          <w:color w:val="auto"/>
        </w:rPr>
        <w:t>—During the three months ended March 31, 2016, the Company granted 92,057 shares of common stock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under the 2009 LTIP as part of annual incentive awards that included a mix of cash and equity awards. The shares are fully-vested and 58,667 shares were issued net of statutory minimum required tax withholdings. The employees are restricted from selling these shares for up to 18 months from the date of grant.</w:t>
      </w:r>
    </w:p>
    <w:p>
      <w:pPr>
        <w:spacing w:after="0" w:line="14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2016 Restricted Stock Unit Activity</w:t>
      </w:r>
      <w:r>
        <w:rPr>
          <w:rFonts w:ascii="Arial" w:cs="Arial" w:eastAsia="Arial" w:hAnsi="Arial"/>
          <w:sz w:val="18"/>
          <w:szCs w:val="18"/>
          <w:color w:val="auto"/>
        </w:rPr>
        <w:t>—During the three months ended March 31, 2016, the Company granted new stock-based compensation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employees in the form of long-term incentive awards, comprised of the following:</w:t>
      </w:r>
    </w:p>
    <w:p>
      <w:pPr>
        <w:spacing w:after="0" w:line="130" w:lineRule="exact"/>
        <w:rPr>
          <w:sz w:val="20"/>
          <w:szCs w:val="20"/>
          <w:color w:val="auto"/>
        </w:rPr>
      </w:pPr>
    </w:p>
    <w:p>
      <w:pPr>
        <w:jc w:val="both"/>
        <w:ind w:left="660" w:hanging="247"/>
        <w:spacing w:after="0" w:line="27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122,817 service-based Units were granted on January 29, 2016, representing the right to receive an equivalent number of shares of the Company's common stock (after deducting shares for minimum required statutory withholdings) if and when the Units vest. The Units will cliff vest in one installment on December 31, 2018,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March 31, 2016, 122,817 of such service-based Units were outstanding.</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the Company had the following additional stock-based compensation awards outstanding:</w:t>
      </w:r>
    </w:p>
    <w:p>
      <w:pPr>
        <w:spacing w:after="0" w:line="225" w:lineRule="exact"/>
        <w:rPr>
          <w:sz w:val="20"/>
          <w:szCs w:val="20"/>
          <w:color w:val="auto"/>
        </w:rPr>
      </w:pPr>
    </w:p>
    <w:p>
      <w:pPr>
        <w:jc w:val="both"/>
        <w:ind w:left="660" w:hanging="247"/>
        <w:spacing w:after="0" w:line="26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48,519 target amount of performance-based Units were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w:t>
      </w:r>
    </w:p>
    <w:p>
      <w:pPr>
        <w:spacing w:after="0" w:line="147" w:lineRule="exact"/>
        <w:rPr>
          <w:rFonts w:ascii="Arial" w:cs="Arial" w:eastAsia="Arial" w:hAnsi="Arial"/>
          <w:sz w:val="17"/>
          <w:szCs w:val="17"/>
          <w:color w:val="auto"/>
        </w:rPr>
      </w:pPr>
    </w:p>
    <w:p>
      <w:pPr>
        <w:jc w:val="both"/>
        <w:ind w:left="660" w:hanging="247"/>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61,557 service-based Units were granted on January 30, 2015, representing the right to receive an equivalent number of shares of the Company's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49,434 target amount of performance-based Units, granted on January 10, 2014, representing the right to receive an equivalent number of shares of the Company's common stock (after deducting shares for minimum required statutory withholdings) if and when the Units vest based on the Company’s TSR measured over a performance period ending on December 31, 2016, which is the date the awards cliff vest. The other terms of these performance-based Units are identical to the terms described above for the performance-based Units granted in 2015.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w:t>
      </w:r>
    </w:p>
    <w:p>
      <w:pPr>
        <w:spacing w:after="0" w:line="148"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62,662 service-based Units, granted on January 10, 2014, representing the right to receive an equivalent number of shares of the Company's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60" w:hanging="247"/>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8,751 service-based Units granted on various dates, representing the right to receive an equivalent number of shares of the Company's common stock (after deducting shares for minimum required statutory withholdings) if and when the Units vest. The Units have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—As of March 31, 2016, a combined total of 296,755 CSEs and restricted shares of common stock granted to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remained outstanding under the Company's Non-Employee Directors Deferral Plan, with an aggregate intrinsic value of $2.9 million.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$0.6 million for each of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 HPU holders were current and former Company employees who purchased high performance common stock units under the Company's High Performance Unit Program. These HPU units were treated as a separate class of common stock. All of the Company's outstanding HPUs were repurchased and retired on August 13, 2015.</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EPS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85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(19,757)</w:t>
            </w:r>
          </w:p>
        </w:tc>
        <w:tc>
          <w:tcPr>
            <w:tcW w:w="3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(12,830)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 attributable to iStar Inc. and allocable to common shareholders, HPU</w:t>
            </w:r>
          </w:p>
        </w:tc>
        <w:tc>
          <w:tcPr>
            <w:tcW w:w="60" w:type="dxa"/>
            <w:vAlign w:val="bottom"/>
            <w:vMerge w:val="restart"/>
            <w:shd w:val="clear" w:color="auto" w:fill="CCEEFF"/>
          </w:tcPr>
          <w:p>
            <w:pPr>
              <w:spacing w:after="0"/>
              <w:rPr>
                <w:sz w:val="18"/>
                <w:szCs w:val="18"/>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(21,187)</w:t>
            </w:r>
          </w:p>
        </w:tc>
        <w:tc>
          <w:tcPr>
            <w:tcW w:w="120" w:type="dxa"/>
            <w:vAlign w:val="bottom"/>
            <w:gridSpan w:val="2"/>
            <w:vMerge w:val="restart"/>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 and Participating Security Holders for basic earnings per common share</w:t>
            </w: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gridSpan w:val="2"/>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8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8"/>
          </w:tcPr>
          <w:p>
            <w:pPr>
              <w:ind w:left="2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264"/>
        </w:trPr>
        <w:tc>
          <w:tcPr>
            <w:tcW w:w="180" w:type="dxa"/>
            <w:vAlign w:val="bottom"/>
            <w:tcBorders>
              <w:bottom w:val="single" w:sz="8" w:color="CCEEFF"/>
            </w:tcBorders>
          </w:tcPr>
          <w:p>
            <w:pPr>
              <w:spacing w:after="0"/>
              <w:rPr>
                <w:sz w:val="22"/>
                <w:szCs w:val="22"/>
                <w:color w:val="auto"/>
              </w:rPr>
            </w:pPr>
          </w:p>
        </w:tc>
        <w:tc>
          <w:tcPr>
            <w:tcW w:w="85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attributable to iStar Inc. and allocable to common shareholders</w:t>
            </w:r>
          </w:p>
        </w:tc>
        <w:tc>
          <w:tcPr>
            <w:tcW w:w="3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for basic and diluted earnings per 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77,060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7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20" w:type="dxa"/>
            <w:vAlign w:val="bottom"/>
            <w:gridSpan w:val="2"/>
          </w:tcPr>
          <w:p>
            <w:pPr>
              <w:jc w:val="right"/>
              <w:ind w:right="14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1"/>
                <w:szCs w:val="21"/>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700" w:type="dxa"/>
            <w:vAlign w:val="bottom"/>
            <w:gridSpan w:val="2"/>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00" w:type="dxa"/>
            <w:vAlign w:val="bottom"/>
            <w:gridSpan w:val="2"/>
          </w:tcPr>
          <w:p>
            <w:pPr>
              <w:ind w:left="56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For the Three Months Ended March 31,</w:t>
            </w:r>
          </w:p>
        </w:tc>
      </w:tr>
      <w:tr>
        <w:trPr>
          <w:trHeight w:val="263"/>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70"/>
        </w:trPr>
        <w:tc>
          <w:tcPr>
            <w:tcW w:w="87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allocable to High Performance Units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86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7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70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608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w:t>
      </w:r>
    </w:p>
    <w:p>
      <w:pPr>
        <w:spacing w:after="0" w:line="156"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For the three months ended March 31, 2016 and 2015, the following shares were not included in the diluted EPS calculation because they were anti-dilutive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74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3.00% convertible senior unsecured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7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1.50% convertible senior unsecured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11,567</w:t>
            </w:r>
          </w:p>
        </w:tc>
      </w:tr>
      <w:tr>
        <w:trPr>
          <w:trHeight w:val="182"/>
        </w:trPr>
        <w:tc>
          <w:tcPr>
            <w:tcW w:w="74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ind w:left="500" w:hanging="492"/>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For the three months ended March 31, 2016 and 2015, the effect of the Company's unvested Units, performance-based Units, CSEs and restricted stock awards were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3"/>
                <w:szCs w:val="13"/>
                <w:color w:val="auto"/>
              </w:rPr>
            </w:pPr>
          </w:p>
        </w:tc>
        <w:tc>
          <w:tcPr>
            <w:tcW w:w="11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prices 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8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5,536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(2)</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8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(3)</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155"/>
        </w:trPr>
        <w:tc>
          <w:tcPr>
            <w:tcW w:w="5620" w:type="dxa"/>
            <w:vAlign w:val="bottom"/>
          </w:tcPr>
          <w:p>
            <w:pPr>
              <w:spacing w:after="0" w:line="155" w:lineRule="exact"/>
              <w:rPr>
                <w:sz w:val="20"/>
                <w:szCs w:val="20"/>
                <w:color w:val="auto"/>
              </w:rPr>
            </w:pPr>
            <w:r>
              <w:rPr>
                <w:rFonts w:ascii="Arial" w:cs="Arial" w:eastAsia="Arial" w:hAnsi="Arial"/>
                <w:sz w:val="14"/>
                <w:szCs w:val="14"/>
                <w:color w:val="auto"/>
              </w:rPr>
              <w:t>____________________________________________________________</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fair value of the Company's derivatives and available-for-sale securities are based upon third-party broker quotes. During the three months ended March 31, 2016, the Company acquired $4.4 million of available for sale securities. There were no other material changes in Level 3 assets and there were no transfers into/out of Level 3 for the three months ended March 31,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$5.2 million using an appraisal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$3.2 million based on a discounted cash flow analysis using a discount rate of 14.3%.</w:t>
      </w:r>
    </w:p>
    <w:p>
      <w:pPr>
        <w:spacing w:after="0" w:line="152"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$1.7 billion and $4.3 billion, respectively, as of March 31, 2016 and $1.6 billion and $4.3 billion, respectively, as of December 31, 2015.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Three Months Ended March 31,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35,750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54,937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41,704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2,557</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133,369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(57,021)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16,069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50,916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w w:val="97"/>
              </w:rPr>
              <w:t>For the Three Months Ended March 31, 2015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59,139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34,896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21,156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140,560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(39,634)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(54,632)</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Borders>
              <w:bottom w:val="single" w:sz="8" w:color="CCEEFF"/>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18,501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32,819</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March 31, 2016</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1,099,488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479,112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1,578,600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132,395</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1,100,205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610,790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1,710,995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1,024,434</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1,637,387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1,637,387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57,741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233,990</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1,637,387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1,168,248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622,823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1,120,607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57,741</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4,606,806</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885,372</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5,492,178</w:t>
            </w:r>
          </w:p>
        </w:tc>
        <w:tc>
          <w:tcPr>
            <w:tcW w:w="0" w:type="dxa"/>
            <w:vAlign w:val="bottom"/>
          </w:tcPr>
          <w:p>
            <w:pPr>
              <w:spacing w:after="0"/>
              <w:rPr>
                <w:sz w:val="1"/>
                <w:szCs w:val="1"/>
                <w:color w:val="auto"/>
              </w:rPr>
            </w:pPr>
          </w:p>
        </w:tc>
      </w:tr>
      <w:tr>
        <w:trPr>
          <w:trHeight w:val="284"/>
        </w:trPr>
        <w:tc>
          <w:tcPr>
            <w:tcW w:w="3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1,112,479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481,504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1,112,479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618,778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1,601,985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73,533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1,601,985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1,181,575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629,902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1,102,382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73,533</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4,589,377</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57"/>
        </w:trPr>
        <w:tc>
          <w:tcPr>
            <w:tcW w:w="37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-98425</wp:posOffset>
            </wp:positionV>
            <wp:extent cx="805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50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$4.6 million and $3.2 million for the three months ended March 31, 2016 and 2015,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147"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13335</wp:posOffset>
            </wp:positionV>
            <wp:extent cx="1577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19,765</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(Provision for) loan losses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(4,293)</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Stock-based compensation expense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r>
      <w:tr>
        <w:trPr>
          <w:trHeight w:val="264"/>
        </w:trPr>
        <w:tc>
          <w:tcPr>
            <w:tcW w:w="4300" w:type="dxa"/>
            <w:vAlign w:val="bottom"/>
          </w:tcPr>
          <w:p>
            <w:pPr>
              <w:ind w:left="20"/>
              <w:spacing w:after="0"/>
              <w:rPr>
                <w:sz w:val="20"/>
                <w:szCs w:val="20"/>
                <w:color w:val="auto"/>
              </w:rPr>
            </w:pPr>
            <w:r>
              <w:rPr>
                <w:rFonts w:ascii="Arial" w:cs="Arial" w:eastAsia="Arial" w:hAnsi="Arial"/>
                <w:sz w:val="14"/>
                <w:szCs w:val="14"/>
                <w:color w:val="auto"/>
              </w:rPr>
              <w:t>Less: Depreciation and amortization</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(18,501)</w:t>
            </w:r>
          </w:p>
        </w:tc>
      </w:tr>
      <w:tr>
        <w:trPr>
          <w:trHeight w:val="27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tax (expense) benefit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(5,878)</w:t>
            </w:r>
          </w:p>
        </w:tc>
      </w:tr>
      <w:tr>
        <w:trPr>
          <w:trHeight w:val="26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(12,313)</w:t>
            </w: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2015 Annual Report (as defined below),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2015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Inc., doing business as "iStar", finances, invests in and develops real estate and real estate related projects as part of its fully-integrated investment platform. We have invested more than $35 billion over the past two decades and are structured as a real estate investment trust ("REIT") with a diversified portfolio focused on larger assets located in major metropolitan markets. Our primary business segments are real estate finance, land and development, net lease and operating properties.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continued to originate investments within our core business segments of real estate finance and net lease, which we anticipate should drive future revenue growth. In addition, we have made significant investments within our operating property and land and development portfolios in order to maximize asset value and better position assets for sale. Through strategic ventures, we have partnered with other providers of capital within our net lease segment and with developers with residential building expertise within our land and development segment. We expect these partnerships to have a positive impact on our business.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Access to the capital markets has allowed us to extend our debt maturity profile and become primarily an unsecured borrower. In March 2016, we repaid our $261.4 million 5.875% senior unsecured notes at maturity using available cash. In addition, we issued $275.0 million principal amount of 6.50% senior unsecured notes due July 2021. Proceeds from the offering were used to repay $5.0 million of the 2015 Revolving Credit Facility and related financing costs. As of March 31, 2016, we had $591.2 million of cash, which we expect to use primarily to repay debt and fund future investment activities. Subsequent to the end of the quarter, we used the remaining proceeds from the March offering to repay in full the $265.0 million principal amount of senior unsecured notes due July 2016.</w:t>
      </w:r>
    </w:p>
    <w:p>
      <w:pPr>
        <w:spacing w:after="0" w:line="1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three months ended March 31, 2016,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three months ended March 31, 2016, we recorded a net loss allocable to common shareholders of $21.2 million, compared to $22.6 million during the same period in the prior year. Adjusted income allocable to common shareholders for the three months ended March 31, 2016 was $3.1 million, compared to $8.5 million during the same period in the prior 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2016 compared to the Three Months Ended March 31, 2015</w:t>
      </w: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6,689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54,632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11,575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2,349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6,292</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sales of real estate</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$54.9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2016 from $59.1 million for the same period in 2015.</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Operating lease income from net lease assets decreased to $35.8 million during the three months ended March 31, 2016 from $36.3 million for the same period in 2015. The decrease was primarily due to the sale of net lease assets in 2015. Operating lease income from same store net lease assets, defined as net lease assets we owned on or prior to January 1, 2015 and were in service through March 31, 2016, increased slightly to $34.3 million during the three months ended March 31, 2016 from $34.2 million for the same period in 2015. This increase was primarily due to an increase in rent per occupied square foot to $9.61 for the three months ended March 31, 2016 from $9.57 for the same period in 2015, and an increase in the occupancy rate, which was 96.0% as of March 31, 2016 and 95.5% as of March 31, 2015.</w:t>
      </w:r>
    </w:p>
    <w:p>
      <w:pPr>
        <w:spacing w:after="0" w:line="1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Operating lease income from commercial operating properties decreased to $18.9 million during the three months ended March 31, 2016 from $22.5 million for the same period in 2015. The decrease was primarily due to the sale of a leasehold interest in an operating property in 2015 and other commercial operating property sales in 2015. This decrease was partially offset by an increase in operating lease income for same store commercial operating properties, defined as commercial operating properties, excluding hotels and marinas, which we owned on or prior to January 1, 2015 and were in service through March 31, 2016. Operating lease income from same store commercial operating properties increased to $16.5 million during the three months ended March 31, 2016 from $14.9 million for the same period in 2015, due primarily to an increase in occupancy rates, which was 76.6% as of March 31, 2016 and 68.8% as of March 31, 2015, partially offset by a decrease in rent per occupied square foot to $24.19 for the three months ended March 31, 2016 from $24.35 for the same period in 2015. Ancillary operating lease income for residential operating properties and land and development assets decreased slightly for the three months ended March 31, 2016 to $0.2 million from $0.3 million for the same period in 2015.</w:t>
      </w:r>
    </w:p>
    <w:p>
      <w:pPr>
        <w:spacing w:after="0" w:line="18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decreased to $33.2 million during the three months ended March 31, 2016 from $34.9 million for the same period in 2015. The decrease was due primarily to the weighted average yield on our performing loans, which decreased to 8.5% for the three months ended March 31, 2016 from 9.6% for the same period in 2015, due primarily to the repayment of loans with higher interest rates. This decrease was partially offset by new investment originations and additional fundings on existing loans,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increased our average balance of performing loans to $1.57 billion during the three months ended March 31, 2016 from $1.48 billion for the same period in 2015.</w:t>
      </w:r>
    </w:p>
    <w:p>
      <w:pPr>
        <w:spacing w:after="0" w:line="13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Other income increased to $11.5 million during the three months ended March 31, 2016 from $10.6 million for the same period in 2015. The increase was primarily due to an increase in loan prepayment fees and property tax refunds, partially offset by a decrease in lease termination fees.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—During the three months ended March 31, 2016, we sold residential lots and units for proceeds of $14.9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which had associated cost of sales of $11.6 million. We also recognized earnings from equity method investments of $6.7 million from unconsolidated land and development investments, resulting in total gross margin from our land and development portfolio of $10.0 million. During the three months ended March 31, 2015, we sold residential lots and units for proceeds of $8.3 million which had associated cost of sales of $6.9 million. We also recognized earnings from equity method investments of $2.6 million from unconsolidated land and development investments, resulting in total gross margin from our land and development portfolio of $4.0 million. The increase in 2016 from the same period in 2015 was primarily due to the progression of our land and development projects.</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increased to $57.0 million during the three months ended March 31, 2016 from $54.6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2015 due to an increase in our outstanding debt. The average balance of our outstanding debt increased to $4.21 billion for the three months ended March 31, 2016 from $4.08 billion for the same period in 2015. Our weighted average effective cost of debt was 5.5% for the three months ended March 31, 2016 and 2015.</w:t>
      </w:r>
    </w:p>
    <w:p>
      <w:pPr>
        <w:spacing w:after="0" w:line="14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Real estate expenses decreased to $34.3 million during the three months ended March 31, 2016 from $39.6 million for the same period in 2015. The decrease was due primarily to expenses for commercial operating properties which decreased to $18.6 million during the three months ended March 31, 2016 from $22.5 million for the same period in 2015. This decrease was primarily due to the sale of a leasehold interest in an operating property and other operating property sales during 2015. Expenses for same store commercial operating properties, excluding hotels and marinas, increased to $10.0 million from $9.9 million for the same period in 2015. Expenses associated with residential units also decreased to $2.6 million during the three months ended March 31, 2016 from $4.9 million for the same period in 2015 due to the sale of residential units since March 31, 2015. Expenses for net lease assets decreased to $4.5 million during the three months ended March 31, 2016 from $5.3 million for the same period in 2015 due primarily to the sale of net lease assets in 2015. Expenses for same store net lease assets decreased to $4.5 million from $4.8 million for the same period in 2015. These decreases were offset by an increase in carry costs and other expenses on our land assets, which increased to $8.6 million during the three months ended March 31, 2016 from $6.9 million for the same period in 2015, primarily due to an increase in costs incurred on certain land assets prior to development.</w:t>
      </w:r>
    </w:p>
    <w:p>
      <w:pPr>
        <w:spacing w:after="0" w:line="1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decreased to $14.7 million during the three months ended March 31, 2016 from $18.5 million for the same period in 2015, primarily due to the sale of a leasehold interest in an operating property and other commercial operating property sales in 2015.</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increased to $23.1 million during the three months ended March 31, 2016 from $20.8 million for the same period in 2015, primarily due to the timing of expense recognition for our performance based compensation program, the vesting of previously issued compensation awards and the grant of additional iPIP points.</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net provision for loan losses was $1.5 million during the three months ended March 31, 2016 as compared to $4.3 million for the same period in 2015. Included in the net provision for the three months ended March 31, 2016 were provisions of $0.9 million in the specific reserve due to one non-performing loan and $0.6 million in the general reserve primarily due to new investment originations. Included in the net provision for the three months ended March 31, 2015 was an increase of $4.5 million in the general reserve due primarily to new investment originations offset by recoveries of previously recorded loan loss reserves of $0.2 million.</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expense decreased to $0.7 million during the three months ended March 31, 2016 from $2.1 million for the same period in 2015. This decrease was primarily the result of a change in the fair value of an interest rate cap that was not designated as a cash flow hedge.</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to $8.3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2016 from $6.5 million for the same period in 2015. During the three months ended March 31, 2016, we recognized $8.2 million related to sales activity on a land development venture, $0.9 million related to leasing operations at our Net Lease Venture and aggregate losses of $0.8 million from our remaining equity method investments. For the three months ended March 31, 2015, we recognized $6.5 million of earnings from equity method investments due primarily to $4.5 million related to sales activity on a land development venture.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b w:val="1"/>
          <w:bCs w:val="1"/>
          <w:i w:val="1"/>
          <w:iCs w:val="1"/>
          <w:color w:val="auto"/>
        </w:rPr>
        <w:t>Income tax (expense) benefit</w:t>
      </w:r>
      <w:r>
        <w:rPr>
          <w:rFonts w:ascii="Arial" w:cs="Arial" w:eastAsia="Arial" w:hAnsi="Arial"/>
          <w:sz w:val="17"/>
          <w:szCs w:val="17"/>
          <w:color w:val="auto"/>
        </w:rPr>
        <w:t>—Income taxes are primarily generated by assets held by our taxable REIT subsidiaries ("TRS's"). An income tax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$0.4 million was recorded during the three months ended March 31, 2016 as compared to income tax expense of $5.9 million for the same period in 2015. The current income tax benefit relates primarily to a taxable loss generated from the sales of TRS properties. The income tax expense for the three months ended March 31, 2015 primarily related to taxable income generated from the sales of TRS properties.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decreased to $10.5 million during the three months ended March 31, 2016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$21.2 million for the same period in 2015. During the three months ended March 31, 2016 and 2015, we sold residential condominiums that resulted in income of $4.9 million and $17.6 million, respectively. The decrease was due primarily to our decreasing inventory of residential condominiums. During the three months ended March 31, 2016 and 2015, we sold net lease assets resulting in a gain of $4.9 million and $3.6 million, respectively. In addition, during the three months ended March 31, 2016, we sold a commercial operating property resulting in a gain of $0.7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to net income (loss) prepared in conformity with generally accepted accounting principles in the United States of America ("GAAP"), we use adjusted income, a non-GAAP financial measure, to measure our operating performance. Adjusted income represents net income (loss) allocable to common shareholders, prior to the effect of depreciation and amortization, provision for (recovery of) loan losses, impairment of assets, stock-based compensation expense and the non-cash portion of gain (loss) on early extinguishment of debt ("Adjusted Income").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is a useful measure to consider, in addition to net income (loss), as it may help investors evaluate our operating performance prior to certain non-cash items.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For the Three Months Ended March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Net income (loss) allocable to common shareholders</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17,172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Add/Less: Provision for loan losses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Loss on early extinguishment of debt,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Less: HPU/Participating Security allocation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(loss) allocable to common shareholders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4230"/>
              <w:spacing w:after="0"/>
              <w:rPr>
                <w:sz w:val="20"/>
                <w:szCs w:val="20"/>
                <w:color w:val="auto"/>
              </w:rPr>
            </w:pPr>
            <w:r>
              <w:rPr>
                <w:rFonts w:ascii="Arial" w:cs="Arial" w:eastAsia="Arial" w:hAnsi="Arial"/>
                <w:sz w:val="14"/>
                <w:szCs w:val="14"/>
                <w:color w:val="auto"/>
                <w:w w:val="91"/>
              </w:rPr>
              <w:t>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right="20" w:hanging="492"/>
        <w:spacing w:after="0" w:line="255"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three months ended March 31, 2016 and 2015, impairment of assets includes impairments on cost and equity method investments recorded in "Other income" and "Earnings from equity method investments", respectively, in our consolidated statements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Carrying value</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68,349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60,327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Asset-specific reserves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72,165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As a percentage of gross carrying value of impaired loans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108,165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March 31, 2016 and December 31, 2015, carrying values of non-performing loans are net of asset-specific reserves for loan losses.</w:t>
      </w:r>
    </w:p>
    <w:p>
      <w:pPr>
        <w:spacing w:after="0" w:line="1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March 31, 2016, we had non-performing loans with an aggregate carrying value of $68.3 million compared to non-performing loans of with an aggregate carrying value of $60.3 million as of December 31, 2015. We expect that our level of non-performing loans will fluctuate from period to period.</w:t>
      </w:r>
    </w:p>
    <w:p>
      <w:pPr>
        <w:spacing w:after="0" w:line="1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was $109.7 million as of March 31, 2016, or 6.4% of total loans, compared to $108.2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6.6% as of December 31, 2015. For the three months ended March 31, 2016, the provision for loan losses includes provisions for specific reserves of $0.9 million due to one non-performing loan and $0.6 million of general reserves due primarily to new investment originations. We expect that our level of reserve for loan losses will fluctuate from period to period. Due to the volatility of the commercial real estate market, the process of estimating collateral values and reserves requires the use of significant judgment. We currently believe there are adequate collateral and reserves to support the carrying values of the loans.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March 31, 2016, asset-specific reserves increased to $73.1 million compared to $72.2 million as of December 31, 2015, due primarily to a new non-performing loan.</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increased to $36.6 million or 2.3% of performing loans as of March 31, 2016, compared to $36.0 million or 2.4% of performing loans as of December 31, 2015. This increase was primarily attributable to an increase in the balance of performing loans, which was driven by new investment originations.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March 31, 2016, based on current gross carrying values, the Company's total investment portfolio has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4"/>
                <w:szCs w:val="14"/>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Land &amp;</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1,172,018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Office / Industrial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157,281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847,287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132,401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1,136,969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837,112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349,443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136,080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540,862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500,552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269,604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401,318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206,040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215,523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57,741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1,673,987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1,550,749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702,501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1,126,939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5,111,917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24"/>
                <w:szCs w:val="24"/>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Land &amp;</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382,939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1,640,899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84,227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402,406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364,001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907,690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793,534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204,071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662,698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517,585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164,135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306,899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62,131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141,934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224,871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57,741</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1,673,987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1,550,749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702,501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1,126,939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5,111,917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-98425</wp:posOffset>
            </wp:positionV>
            <wp:extent cx="5017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$19.8 million of international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During the three months ended March 31, 2016, we funded a total of $147.8 million associated with new investments, prior financing commitments as well as ongoing development during the quarter. Total fundings included $94.3 million in lending and other investments, $34.2 million to develop our land and development assets and $19.3 million of capital to reposition or redevelop our operating properties and invest in net lease assets. Also during the three months ended March 31, 2016, we generated $131.8 million of proceeds from loan repayments and asset sales within our portfolio, comprised of $79.7 million from real estate finance, $25.5 million from operating properties, $10.6 million from net lease assets, $9.0 million from land and development assets and $7.0 million from other investments. These amounts are inclusive of fundings and proceeds from both consolidated investments and our pro rata share from equity method investments. In March 2016, we repaid the $261.4 million principal amount of 5.875% senior unsecured notes at maturity using available cash. In addition, we issued $275.0 million principal amount of 6.50% senior unsecured notes due July 2021. Proceeds from the offering were used to repay $5.0 million of the 2015 Revolving Credit Facility, pay related financing costs and, subsequent to the end of the quarter, repay in full the $265.0 million principal amount of senior unsecured notes due July 2016. As of March 31, 2016, we had unrestricted cash of $591.2 million, including proceeds from the notes issuance.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for the three months ended March 31, 2016 and 2015, by segment ($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13,824</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5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14,716</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19,953</w:t>
            </w:r>
          </w:p>
        </w:tc>
      </w:tr>
      <w:tr>
        <w:trPr>
          <w:trHeight w:val="257"/>
        </w:trPr>
        <w:tc>
          <w:tcPr>
            <w:tcW w:w="560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29,375</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19,953</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primary cash uses over the next 12 months are expected to be funding of investments, repayment of debt, capital expenditures and funding ongoing business operations. Subsequent to the end of the quarter, we repaid in full the $265.0 million principal amount of senior unsecured notes due July 2016. We have other debt maturities of $824.8 million due before March 31, 2017. Over the next 12 months, we currently expect to fund in the range of approximately $200 million to $275 million of capital expenditures within our portfolio. The majority of these amounts relate to our land and development and operating properties business segments and include multifamily and residential development activities which are expected to include approximately $115 million in vertical construction. The amount spent will depend on the pace of our development activities as well as the extent to which we strategically partner with others to complete these projects. As of March 31, 2016, we also had approximately $840 million of maximum unfunded commitments associated with our investments of which we expect to fund the majority over the next two years, assuming borrowers and tenants meet all milestones and performance hurdles and all other conditions to fundings are met. See "Unfunded Commitments" below. Our capital sources to meet cash uses through the next 12 months and beyond will primarily be expected to include cash on hand, income from our portfolio, loan repayments from borrowers, proceeds from asset sales and capital raised through debt and/or equity capital raising transactions.</w:t>
      </w:r>
    </w:p>
    <w:p>
      <w:pPr>
        <w:spacing w:after="0" w:line="14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loan participations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lease obligations as of March 31, 2016 (Refer to Note 10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Unsecured notes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3,234,722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764,722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1,425,000</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770,000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237,297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4,142,142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1,696,380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100,933</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576,742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206,753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238,405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93,404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17,237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20,943</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154,905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54,905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8,808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4,899,355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1,311,652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2,043,593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963,887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457,618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122,605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$265.0 million principal amount of senior unsecured notes due July 2016 that were repaid in full in April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Variable-rate debt assumes 1-month LIBOR of 0.43% and 3-month LIBOR of 0.62% that were in effect as of March 31,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also have issued letters of credit totaling $2.2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2015 Revolving Credit Facility</w:t>
      </w:r>
      <w:r>
        <w:rPr>
          <w:rFonts w:ascii="Arial" w:cs="Arial" w:eastAsia="Arial" w:hAnsi="Arial"/>
          <w:sz w:val="18"/>
          <w:szCs w:val="18"/>
          <w:color w:val="auto"/>
        </w:rPr>
        <w:t>—On March 27, 2015, we entered into a secured revolving credit facility with a maximum capacity of $250.0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(the "2015 Revolving Credit Facility"). Borrowings under this credit facility bear interest at a floating rate indexed to one of several base rates plus a margin which adjusts upward or downward based upon our corporate credit rating. An undrawn credit facility commitment fee ranges from 0.375% to 0.50%, based on average utilization each quarter. During the three months ended March 31, 2016, the weighted average cost of the credit facility was 3.18%. Commitments under the revolving facility mature in March 2018. At maturity, we may convert outstanding borrowings to a one-year term loan which matures in quarterly installments through March 2019.</w:t>
      </w:r>
    </w:p>
    <w:p>
      <w:pPr>
        <w:spacing w:after="0" w:line="147"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2012 Secured Credit Facilities</w:t>
      </w:r>
      <w:r>
        <w:rPr>
          <w:rFonts w:ascii="Arial" w:cs="Arial" w:eastAsia="Arial" w:hAnsi="Arial"/>
          <w:sz w:val="16"/>
          <w:szCs w:val="16"/>
          <w:color w:val="auto"/>
        </w:rPr>
        <w:t>—In March 2012, we entered into an $880.0 million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$410.0 million 2012 A-1 tranche due March 2016, which accrued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1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us. We may also make optional prepayments, subject to prepayment fees. The 2012 Tranche A-1 Facility was fully repaid in August 2013. Additionally, through March 31, 2016, we made cumulative amortization repayments of $144.9 million on the 2012 Tranche A-2 Facility. For the three months ended March 31, 2016 and 2015, repayments of the 2012 Tranche A-2 Facility prior to maturity resulted in losses on early extinguishment of debt of 0.1 million and $0.2 million, respectively, related to the accelerated amortization of discounts and unamortized deferred financing fees on the portion of the facility that was repaid. These amounts are included in "Loss on early extinguishment of debt, net" in our consolidated statements of operations.</w:t>
      </w:r>
    </w:p>
    <w:p>
      <w:pPr>
        <w:spacing w:after="0" w:line="16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March 2016, we repaid our $261.4 million principal amount of 5.875% senior unsecured notes at maturity using available cash.</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in March 2016 we issued $275.0 million principal amount of 6.50% senior unsecured notes due July 2021. Proceeds from the offering were used to repay $5.0 million of the 2015 Revolving Credit Facility, pay related financing costs and, subsequent to the end of the quarter, repay in full the $265.0 million principal amount of senior unsecured notes due July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2016 and December 31, 2015,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79"/>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772,050</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157,347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1,361,735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885,372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1,010,011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4,363,862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1,037,542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March 31, 2016 and December 31, 2015, the amounts presented exclude general reserves for loan losses of $36.6 million and $36.0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March 31, 2016 and December 31, 2015, the amount presented excludes loan participations of $154.9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While our ability to incur additional indebtedness under the fixed charge coverage ratio is currently limited, we are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us to maintain collateral coverage of at least 1.25x outstanding borrowings on the facilities. The 2015 Revolving Credit Facility is secured by a borrowing base of assets and requires us to maintain both collateral coverage of at least 1.5x outstanding borrowings on the facility and a consolidated ratio of cash flow to fixed charges of at least 1.5x. The 2015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2012 Secured Credit Facilities and the 2015 Revolving Credit Facility permit us to distribute 100% of our REIT taxable income on an annual basis (prior to deducting certain cumulative NOL carryforwards in the case of the 2015 Revolving Credit Facility). We may not pay common dividends if we cease to qualify as a REIT.</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2012 Secured Credit Facilities and the 2015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2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Refer to Note 12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March 31, 2016,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Lending</w:t>
            </w:r>
          </w:p>
        </w:tc>
        <w:tc>
          <w:tcPr>
            <w:tcW w:w="22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752,417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789,220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45,978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45,978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38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757,417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65,620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840,198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—In February 2016, after having substantially utilized the remaining availability previously authorized,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authorized a new $50.0 million stock repurchase program. The program authorizes the repurchase of common stock from time to time in open market and privately negotiated purchases, including pursuant to one or more trading plans. During the three months ended March 31, 2016, we repurchased 5.8 million shares of our outstanding common stock for $58.1 million, at an average cost of $9.94 per share. During the three months ended March 31, 2015, we repurchased 44,000 shares of its outstanding common stock for $0.6 million, at an average cost of $12.66 per share. As of March 31, 2016 and December 31, 2015, we had remaining authorization to repurchase up to $40.6 million and $48.7 million, respectively, of common stock under our stock repurchase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accordance with the adoption of Accounting Standards Update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we present debt issuance costs as a deduction from the carrying value of "Debt obligations, net" and "Loan participations payable, net" on our consolidated balance sheets, which is consistent with the presentation of debt discounts. These costs were previously recorded in "Deferred expenses and other assets, net" on our consolidated balance sheets. However, debt issuance costs associated with revolving-debt arrangements are recorded in "Deferred expenses and other assets, net" on our consolidated balance sheets.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2016, we adopted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which modified the analysis we must perform to determine whether we should consolidate certain types of entities. The guidance does not amend the existing disclosure requirements variable interest entities or voting interest entities ("VOEs"). The guidance, however, modified the requirements to qualify under the VOE model. The adoption did not have a material impact on our consolidated financial statements.</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January 1, 2016, we adopted ASU 2014-16, </w:t>
      </w:r>
      <w:r>
        <w:rPr>
          <w:rFonts w:ascii="Arial" w:cs="Arial" w:eastAsia="Arial" w:hAnsi="Arial"/>
          <w:sz w:val="18"/>
          <w:szCs w:val="18"/>
          <w:i w:val="1"/>
          <w:iCs w:val="1"/>
          <w:color w:val="auto"/>
        </w:rPr>
        <w:t>Determining Whether the Host Contract in a Hybrid Financial Instrument Issued in the Form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is More Akin to Debt or to Equity </w:t>
      </w:r>
      <w:r>
        <w:rPr>
          <w:rFonts w:ascii="Arial" w:cs="Arial" w:eastAsia="Arial" w:hAnsi="Arial"/>
          <w:sz w:val="18"/>
          <w:szCs w:val="18"/>
          <w:color w:val="auto"/>
        </w:rPr>
        <w:t>("ASU 2014-16") which eliminated the diversity in practice for the accounting for hybrid financial instruments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The adoption did not have a material impact on our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2016, the remainder of our significant accounting policies, which are detailed in our 2015 Annual Report, have not changed materially.</w:t>
      </w:r>
    </w:p>
    <w:p>
      <w:pPr>
        <w:spacing w:after="0" w:line="20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three months ended March 31, 2016 as compared to the disclosures included in our 2015 Annual Report. See discussion of quantitative and qualitative disclosures about market risk under Item 7a —"Quantitative and Qualitative Disclosures about Market Risk," included in our 2015 Annual Report.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Circuit Court granted the defendants’ Motions to Dismiss and plaintiffs’ claims against all of the defendants in this action were dismissed. Plaintiffs appealed the Circuit Court's dismissal of their claims against the Company and all other defendants. On January 28, 2016, the Court of Special Appeals affirmed the order of the Circuit Court, holding that the Circuit Court properly dismissed plaintiffs' claims against all defendants, including the Company. On March 16, 2016, plaintiffs filed a petition for certiorari with the Maryland Court of Appeals, requesting that the Court of Appeals reverse the decision of the Court of Special Appeals. We have filed a response in opposition, arguing that the petition for certiorari should be denied. Action on the petition for certiorari is pending.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In the pending appeal before the United States Court of Appeals for the Fourth Circuit, the parties have filed their respective briefs. Oral argument has not yet been scheduled. There can be no assurance as to the timing or actual receipt by the Company of amounts awarded by the Court or the outcome of any appeal. A third party is entitled to a 7.8% participation interest in all proceeds paid to the Company.</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from the risk factors previously disclosed in the Company's 2015 Annual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March 31,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4"/>
              </w:rPr>
              <w:t>Average Price Paid</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4,666,462</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10.23</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4,666,462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943,326</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February 1 to February 29</w:t>
            </w:r>
          </w:p>
        </w:tc>
        <w:tc>
          <w:tcPr>
            <w:tcW w:w="1740" w:type="dxa"/>
            <w:vAlign w:val="bottom"/>
          </w:tcPr>
          <w:p>
            <w:pPr>
              <w:jc w:val="right"/>
              <w:spacing w:after="0"/>
              <w:rPr>
                <w:sz w:val="20"/>
                <w:szCs w:val="20"/>
                <w:color w:val="auto"/>
              </w:rPr>
            </w:pPr>
            <w:r>
              <w:rPr>
                <w:rFonts w:ascii="Arial" w:cs="Arial" w:eastAsia="Arial" w:hAnsi="Arial"/>
                <w:sz w:val="18"/>
                <w:szCs w:val="18"/>
                <w:color w:val="auto"/>
              </w:rPr>
              <w:t>523,059</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8.86</w:t>
            </w:r>
          </w:p>
        </w:tc>
        <w:tc>
          <w:tcPr>
            <w:tcW w:w="2080" w:type="dxa"/>
            <w:vAlign w:val="bottom"/>
          </w:tcPr>
          <w:p>
            <w:pPr>
              <w:jc w:val="right"/>
              <w:spacing w:after="0"/>
              <w:rPr>
                <w:sz w:val="20"/>
                <w:szCs w:val="20"/>
                <w:color w:val="auto"/>
              </w:rPr>
            </w:pPr>
            <w:r>
              <w:rPr>
                <w:rFonts w:ascii="Arial" w:cs="Arial" w:eastAsia="Arial" w:hAnsi="Arial"/>
                <w:sz w:val="18"/>
                <w:szCs w:val="18"/>
                <w:color w:val="auto"/>
              </w:rPr>
              <w:t>523,059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46,310,958</w:t>
            </w: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color w:val="auto"/>
              </w:rPr>
              <w:t>March 1 to March 31</w:t>
            </w:r>
          </w:p>
        </w:tc>
        <w:tc>
          <w:tcPr>
            <w:tcW w:w="1740" w:type="dxa"/>
            <w:vAlign w:val="bottom"/>
          </w:tcPr>
          <w:p>
            <w:pPr>
              <w:jc w:val="right"/>
              <w:spacing w:after="0"/>
              <w:rPr>
                <w:sz w:val="20"/>
                <w:szCs w:val="20"/>
                <w:color w:val="auto"/>
              </w:rPr>
            </w:pPr>
            <w:r>
              <w:rPr>
                <w:rFonts w:ascii="Arial" w:cs="Arial" w:eastAsia="Arial" w:hAnsi="Arial"/>
                <w:sz w:val="18"/>
                <w:szCs w:val="18"/>
                <w:color w:val="auto"/>
              </w:rPr>
              <w:t>649,891</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8.74</w:t>
            </w:r>
          </w:p>
        </w:tc>
        <w:tc>
          <w:tcPr>
            <w:tcW w:w="2080" w:type="dxa"/>
            <w:vAlign w:val="bottom"/>
          </w:tcPr>
          <w:p>
            <w:pPr>
              <w:jc w:val="right"/>
              <w:spacing w:after="0"/>
              <w:rPr>
                <w:sz w:val="20"/>
                <w:szCs w:val="20"/>
                <w:color w:val="auto"/>
              </w:rPr>
            </w:pPr>
            <w:r>
              <w:rPr>
                <w:rFonts w:ascii="Arial" w:cs="Arial" w:eastAsia="Arial" w:hAnsi="Arial"/>
                <w:sz w:val="18"/>
                <w:szCs w:val="18"/>
                <w:color w:val="auto"/>
              </w:rPr>
              <w:t>649,891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40,630,436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right="20" w:hanging="492"/>
        <w:spacing w:after="0" w:line="293" w:lineRule="auto"/>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February 2016, the Company's Board of Directors authorized a new $50.0 million stock repurchase program. The program authorizes the repurchase of common stock from time to time in open market and privately negotiated purchases, including pursuant to one or more trading plans. There is no fixed expiration date to this stock repurchase program.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2" w:right="1440"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70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24"/>
                <w:szCs w:val="24"/>
                <w:color w:val="auto"/>
              </w:rPr>
            </w:pPr>
          </w:p>
        </w:tc>
      </w:tr>
      <w:tr>
        <w:trPr>
          <w:trHeight w:val="234"/>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06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7"/>
              </w:rPr>
              <w:t>3.1</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Articles Supplementary (Incorporated by reference to Form 8-K filed on April 19, 2016)</w:t>
            </w:r>
          </w:p>
        </w:tc>
      </w:tr>
      <w:tr>
        <w:trPr>
          <w:trHeight w:val="243"/>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31.0</w:t>
            </w:r>
          </w:p>
        </w:tc>
        <w:tc>
          <w:tcPr>
            <w:tcW w:w="9700" w:type="dxa"/>
            <w:vAlign w:val="bottom"/>
          </w:tcPr>
          <w:p>
            <w:pPr>
              <w:ind w:left="18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32.0</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229"/>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7"/>
              </w:rPr>
              <w:t>101*</w:t>
            </w:r>
          </w:p>
        </w:tc>
        <w:tc>
          <w:tcPr>
            <w:tcW w:w="9700" w:type="dxa"/>
            <w:vAlign w:val="bottom"/>
          </w:tcPr>
          <w:p>
            <w:pPr>
              <w:ind w:left="180"/>
              <w:spacing w:after="0"/>
              <w:rPr>
                <w:sz w:val="20"/>
                <w:szCs w:val="20"/>
                <w:color w:val="auto"/>
              </w:rPr>
            </w:pPr>
            <w:r>
              <w:rPr>
                <w:rFonts w:ascii="Arial" w:cs="Arial" w:eastAsia="Arial" w:hAnsi="Arial"/>
                <w:sz w:val="18"/>
                <w:szCs w:val="18"/>
                <w:color w:val="auto"/>
                <w:w w:val="94"/>
              </w:rPr>
              <w:t>The following financial information from the Company's Quarterly Report on Form 10-Q for the period ended March 31, 2016 is</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7"/>
              </w:rPr>
              <w:t>formatted in XBRL ("eXtensible Business Reporting Language"): (i) the Consolidated Balance Sheets as of March 31, 2016</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1"/>
              </w:rPr>
              <w:t>(unaudited) and December 31, 2015, (ii) the Consolidated Statements of Operations (unaudited) for the three months ended March</w:t>
            </w:r>
          </w:p>
        </w:tc>
      </w:tr>
      <w:tr>
        <w:trPr>
          <w:trHeight w:val="230"/>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4"/>
              </w:rPr>
              <w:t>31, 2016 and 2015, (iii) the Consolidated Statements of Comprehensive Income (Loss) (unaudited) for the three months ended</w:t>
            </w:r>
          </w:p>
        </w:tc>
      </w:tr>
    </w:tbl>
    <w:p>
      <w:pPr>
        <w:ind w:left="1340" w:right="640"/>
        <w:spacing w:after="0" w:line="255" w:lineRule="auto"/>
        <w:rPr>
          <w:sz w:val="20"/>
          <w:szCs w:val="20"/>
          <w:color w:val="auto"/>
        </w:rPr>
      </w:pPr>
      <w:r>
        <w:rPr>
          <w:rFonts w:ascii="Arial" w:cs="Arial" w:eastAsia="Arial" w:hAnsi="Arial"/>
          <w:sz w:val="18"/>
          <w:szCs w:val="18"/>
          <w:color w:val="auto"/>
        </w:rPr>
        <w:t>March 31, 2016 and 2015, (iv) the Consolidated Statement of Changes in Equity (unaudited) for the three months ended March 31, 2016 and 2015, (v) the Consolidated Statements of Cash Flows (unaudited) for the three months ended March 31, 2016 and 2015 and (vi) the Notes to the Consolidated Financial Statements (unaudited).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312"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May 3, 2016</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80" w:val="left"/>
        </w:tabs>
        <w:rPr>
          <w:sz w:val="20"/>
          <w:szCs w:val="20"/>
          <w:color w:val="auto"/>
        </w:rPr>
      </w:pPr>
      <w:r>
        <w:rPr>
          <w:rFonts w:ascii="Arial" w:cs="Arial" w:eastAsia="Arial" w:hAnsi="Arial"/>
          <w:sz w:val="18"/>
          <w:szCs w:val="18"/>
          <w:color w:val="auto"/>
        </w:rPr>
        <w:t>Date: May 3, 2016</w:t>
      </w:r>
      <w:r>
        <w:rPr>
          <w:sz w:val="20"/>
          <w:szCs w:val="20"/>
          <w:color w:val="auto"/>
        </w:rPr>
        <w:tab/>
      </w:r>
      <w:r>
        <w:rPr>
          <w:rFonts w:ascii="Arial" w:cs="Arial" w:eastAsia="Arial" w:hAnsi="Arial"/>
          <w:sz w:val="17"/>
          <w:szCs w:val="17"/>
          <w:color w:val="auto"/>
        </w:rPr>
        <w:t>/s/ DAVID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DiStaso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2016</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2016</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March 31, 2016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2016</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March 31, 2016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3, 2016</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lowerRoman"/>
      <w:start w:val="3"/>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2019-12-29T11:06:54Z</dcterms:created>
  <dcterms:modified xsi:type="dcterms:W3CDTF">2019-12-29T11:06:54Z</dcterms:modified>
</cp:coreProperties>
</file>